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D5" w:rsidRPr="00A373CD" w:rsidRDefault="00CC0FD5" w:rsidP="00CC0FD5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CC0FD5" w:rsidRPr="00A373CD" w:rsidRDefault="00CC0FD5" w:rsidP="00CC0FD5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CC0FD5" w:rsidRDefault="00CC0FD5" w:rsidP="00CC0FD5">
      <w:pPr>
        <w:shd w:val="clear" w:color="auto" w:fill="FFFFFF"/>
        <w:spacing w:after="300"/>
        <w:outlineLvl w:val="2"/>
        <w:rPr>
          <w:rFonts w:eastAsia="Times New Roman" w:cs="Arial"/>
          <w:b/>
          <w:bCs/>
          <w:color w:val="000000"/>
          <w:sz w:val="32"/>
          <w:szCs w:val="32"/>
          <w:lang w:eastAsia="pt-BR"/>
        </w:rPr>
      </w:pPr>
    </w:p>
    <w:p w:rsidR="00CC0FD5" w:rsidRDefault="00CC0FD5" w:rsidP="00CC0FD5">
      <w:pPr>
        <w:shd w:val="clear" w:color="auto" w:fill="FFFFFF"/>
        <w:spacing w:after="300"/>
        <w:outlineLvl w:val="2"/>
        <w:rPr>
          <w:rFonts w:eastAsia="Times New Roman" w:cs="Arial"/>
          <w:b/>
          <w:bCs/>
          <w:color w:val="000000"/>
          <w:sz w:val="32"/>
          <w:szCs w:val="32"/>
          <w:lang w:eastAsia="pt-BR"/>
        </w:rPr>
      </w:pPr>
    </w:p>
    <w:p w:rsidR="00CC0FD5" w:rsidRPr="00207211" w:rsidRDefault="00CC0FD5" w:rsidP="00CC0FD5">
      <w:pPr>
        <w:shd w:val="clear" w:color="auto" w:fill="FFFFFF"/>
        <w:spacing w:after="300"/>
        <w:outlineLvl w:val="2"/>
        <w:rPr>
          <w:rFonts w:eastAsia="Times New Roman" w:cs="Arial"/>
          <w:color w:val="000000"/>
          <w:sz w:val="32"/>
          <w:szCs w:val="32"/>
          <w:lang w:eastAsia="pt-BR"/>
        </w:rPr>
      </w:pPr>
      <w:r w:rsidRPr="00207211">
        <w:rPr>
          <w:rFonts w:eastAsia="Times New Roman" w:cs="Arial"/>
          <w:b/>
          <w:bCs/>
          <w:color w:val="000000"/>
          <w:sz w:val="32"/>
          <w:szCs w:val="32"/>
          <w:lang w:eastAsia="pt-BR"/>
        </w:rPr>
        <w:t>Audiência Nº</w:t>
      </w:r>
      <w:r w:rsidRPr="00207211">
        <w:rPr>
          <w:rFonts w:eastAsia="Times New Roman" w:cs="Arial"/>
          <w:color w:val="000000"/>
          <w:sz w:val="32"/>
          <w:szCs w:val="32"/>
          <w:lang w:eastAsia="pt-BR"/>
        </w:rPr>
        <w:t> </w:t>
      </w:r>
      <w:r w:rsidRPr="00207211">
        <w:rPr>
          <w:rFonts w:eastAsia="Times New Roman" w:cs="Arial"/>
          <w:b/>
          <w:bCs/>
          <w:color w:val="000000"/>
          <w:sz w:val="32"/>
          <w:szCs w:val="32"/>
          <w:lang w:eastAsia="pt-BR"/>
        </w:rPr>
        <w:t>01/2019 – Oitiva da população para contratar empresa</w:t>
      </w:r>
    </w:p>
    <w:p w:rsidR="00CC0FD5" w:rsidRDefault="00CC0FD5" w:rsidP="00CC0FD5">
      <w:pPr>
        <w:jc w:val="both"/>
      </w:pPr>
      <w:r w:rsidRPr="00207211">
        <w:rPr>
          <w:b/>
        </w:rPr>
        <w:t>OBJETO:</w:t>
      </w:r>
      <w:r>
        <w:t xml:space="preserve"> </w:t>
      </w:r>
      <w:r w:rsidRPr="00EE6E42">
        <w:t xml:space="preserve">Contratação de empresa especializada para a prestação de serviços técnicos contínuos de operação das transmissões e </w:t>
      </w:r>
      <w:r>
        <w:t xml:space="preserve">operação de </w:t>
      </w:r>
      <w:r w:rsidRPr="00EE6E42">
        <w:t xml:space="preserve">edição/formatação de </w:t>
      </w:r>
      <w:r>
        <w:t>conteúdos</w:t>
      </w:r>
      <w:r w:rsidRPr="00EE6E42">
        <w:t xml:space="preserve"> multimídia, contemplando o fornecimento de solução tecnológica de transmissão </w:t>
      </w:r>
      <w:r>
        <w:t>e colaboração</w:t>
      </w:r>
      <w:r w:rsidRPr="00EE6E42">
        <w:t>, bem como o fornecimento/manutenção de equipamentos e implantação de ambientes</w:t>
      </w:r>
      <w:r>
        <w:t>, para apoio às ações de formação da Escola de Formação dos Profissionais da Educação</w:t>
      </w:r>
      <w:r w:rsidRPr="00867021">
        <w:t xml:space="preserve"> </w:t>
      </w:r>
      <w:r>
        <w:t>do Estado de São Paulo “Paulo Renato Costa Souza” (EFAPE).</w:t>
      </w:r>
    </w:p>
    <w:p w:rsidR="00CC0FD5" w:rsidRDefault="00CC0FD5" w:rsidP="00CC0FD5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</w:rPr>
      </w:pPr>
    </w:p>
    <w:p w:rsidR="00CC0FD5" w:rsidRDefault="00CC0FD5" w:rsidP="00CC0FD5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sz w:val="28"/>
          <w:szCs w:val="28"/>
          <w:lang w:eastAsia="pt-BR"/>
        </w:rPr>
      </w:pPr>
      <w:r w:rsidRPr="00E80E6B">
        <w:rPr>
          <w:rFonts w:eastAsia="Times New Roman" w:cs="Calibri"/>
          <w:b/>
          <w:color w:val="000000"/>
          <w:sz w:val="28"/>
          <w:szCs w:val="28"/>
          <w:lang w:eastAsia="pt-BR"/>
        </w:rPr>
        <w:t>Dados de Identificação:</w:t>
      </w: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sz w:val="28"/>
          <w:szCs w:val="28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sz w:val="28"/>
          <w:szCs w:val="28"/>
          <w:lang w:eastAsia="pt-BR"/>
        </w:rPr>
      </w:pPr>
      <w:r w:rsidRPr="00E80E6B">
        <w:rPr>
          <w:rFonts w:eastAsia="Times New Roman" w:cs="Calibri"/>
          <w:b/>
          <w:color w:val="000000"/>
          <w:sz w:val="28"/>
          <w:szCs w:val="28"/>
          <w:lang w:eastAsia="pt-BR"/>
        </w:rPr>
        <w:t xml:space="preserve">Nome: Marcos Rogerio Perez </w:t>
      </w:r>
      <w:proofErr w:type="spellStart"/>
      <w:r w:rsidRPr="00E80E6B">
        <w:rPr>
          <w:rFonts w:eastAsia="Times New Roman" w:cs="Calibri"/>
          <w:b/>
          <w:color w:val="000000"/>
          <w:sz w:val="28"/>
          <w:szCs w:val="28"/>
          <w:lang w:eastAsia="pt-BR"/>
        </w:rPr>
        <w:t>Secco</w:t>
      </w:r>
      <w:proofErr w:type="spellEnd"/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sz w:val="28"/>
          <w:szCs w:val="28"/>
          <w:lang w:eastAsia="pt-BR"/>
        </w:rPr>
      </w:pPr>
      <w:r w:rsidRPr="00E80E6B">
        <w:rPr>
          <w:rFonts w:eastAsia="Times New Roman" w:cs="Calibri"/>
          <w:b/>
          <w:color w:val="000000"/>
          <w:sz w:val="28"/>
          <w:szCs w:val="28"/>
          <w:lang w:eastAsia="pt-BR"/>
        </w:rPr>
        <w:t>Empresa: Cisco do Brasil Ltda.</w:t>
      </w: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sz w:val="28"/>
          <w:szCs w:val="28"/>
          <w:lang w:eastAsia="pt-BR"/>
        </w:rPr>
      </w:pPr>
      <w:r w:rsidRPr="00E80E6B">
        <w:rPr>
          <w:rFonts w:eastAsia="Times New Roman" w:cs="Calibri"/>
          <w:b/>
          <w:color w:val="000000"/>
          <w:sz w:val="28"/>
          <w:szCs w:val="28"/>
          <w:lang w:eastAsia="pt-BR"/>
        </w:rPr>
        <w:t xml:space="preserve">E-mail: </w:t>
      </w:r>
      <w:hyperlink r:id="rId7" w:history="1">
        <w:r w:rsidRPr="00E80E6B">
          <w:rPr>
            <w:rStyle w:val="Hyperlink"/>
            <w:rFonts w:eastAsia="Times New Roman" w:cs="Calibri"/>
            <w:b/>
            <w:sz w:val="28"/>
            <w:szCs w:val="28"/>
            <w:lang w:eastAsia="pt-BR"/>
          </w:rPr>
          <w:t>msecco@cisco.com</w:t>
        </w:r>
      </w:hyperlink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sz w:val="28"/>
          <w:szCs w:val="28"/>
          <w:lang w:eastAsia="pt-BR"/>
        </w:rPr>
      </w:pPr>
      <w:r w:rsidRPr="00E80E6B">
        <w:rPr>
          <w:rFonts w:eastAsia="Times New Roman" w:cs="Calibri"/>
          <w:b/>
          <w:color w:val="000000"/>
          <w:sz w:val="28"/>
          <w:szCs w:val="28"/>
          <w:lang w:eastAsia="pt-BR"/>
        </w:rPr>
        <w:t>Data: 11/07/2019 às 09h37</w:t>
      </w:r>
    </w:p>
    <w:p w:rsidR="00CC0FD5" w:rsidRPr="00E80E6B" w:rsidRDefault="00CC0FD5" w:rsidP="00CC0FD5">
      <w:pPr>
        <w:spacing w:line="360" w:lineRule="auto"/>
        <w:ind w:firstLine="720"/>
        <w:jc w:val="both"/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4472C4" w:themeColor="accent1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Arial"/>
          <w:b/>
          <w:color w:val="4472C4" w:themeColor="accent1"/>
          <w:lang w:eastAsia="pt-BR"/>
        </w:rPr>
      </w:pPr>
      <w:r w:rsidRPr="00E80E6B">
        <w:rPr>
          <w:rFonts w:eastAsia="Times New Roman" w:cs="Arial"/>
          <w:b/>
          <w:color w:val="4472C4" w:themeColor="accent1"/>
          <w:lang w:eastAsia="pt-BR"/>
        </w:rPr>
        <w:t>ITEM 6.1. Solução de transmissão e colaboração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O documento não especifica formas de agendamento e controle das transmissões nem registros em log das transmissões realizadas.  Também não há especificação para controle e registro de participantes.  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>SEDUC: Edital irá prever relatórios a serem apresentados pela contratada.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Arial"/>
          <w:b/>
          <w:color w:val="4472C4" w:themeColor="accent1"/>
          <w:lang w:eastAsia="pt-BR"/>
        </w:rPr>
      </w:pPr>
      <w:r w:rsidRPr="00E80E6B">
        <w:rPr>
          <w:rFonts w:eastAsia="Times New Roman" w:cs="Arial"/>
          <w:b/>
          <w:color w:val="4472C4" w:themeColor="accent1"/>
          <w:lang w:eastAsia="pt-BR"/>
        </w:rPr>
        <w:t>ITEM 6.1.1. Especificação técnica da solução de transmissão e colaboração</w:t>
      </w:r>
    </w:p>
    <w:p w:rsidR="00CC0FD5" w:rsidRPr="00E80E6B" w:rsidRDefault="00CC0FD5" w:rsidP="00CC0FD5">
      <w:pPr>
        <w:jc w:val="both"/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Sugerimos que a solução deva permitir o uso de aplicativos móveis disponíveis nas plataformas IOS e Android, bem como aplicativos para as plataformas Windows e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MacOS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.    Ainda com relação aos links, considerando que o consumo de banda para streaming de vídeo nas unidades escolares será elevado, foi realizado um estudo para implementação de conexões de internet diretamente nas escolas?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SEDUC: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Sugestão procedente, para permitir acesso via 3G e 4G, além da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pt-BR"/>
        </w:rPr>
        <w:t>Intragov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. Em relação aos links, onde há internet através da rede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pt-BR"/>
        </w:rPr>
        <w:t>Intragov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, será garantida banda de 2 Mbps, cuja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lastRenderedPageBreak/>
        <w:t>gestão de rede é de responsabilidade da SEDUC. Informamos ainda que a questão foi levantada pelo licitante e a questão foi respondida na própria audiência.</w:t>
      </w:r>
    </w:p>
    <w:p w:rsidR="00CC0FD5" w:rsidRPr="00E80E6B" w:rsidRDefault="00CC0FD5" w:rsidP="00CC0FD5">
      <w:pPr>
        <w:jc w:val="both"/>
      </w:pPr>
    </w:p>
    <w:p w:rsidR="00CC0FD5" w:rsidRPr="00E80E6B" w:rsidRDefault="00CC0FD5" w:rsidP="00CC0FD5">
      <w:pPr>
        <w:jc w:val="both"/>
        <w:rPr>
          <w:rFonts w:eastAsia="Times New Roman" w:cs="Arial"/>
          <w:b/>
          <w:color w:val="4472C4" w:themeColor="accent1"/>
          <w:lang w:eastAsia="pt-BR"/>
        </w:rPr>
      </w:pPr>
      <w:r w:rsidRPr="00E80E6B">
        <w:rPr>
          <w:rFonts w:eastAsia="Times New Roman" w:cs="Arial"/>
          <w:b/>
          <w:color w:val="4472C4" w:themeColor="accent1"/>
          <w:lang w:eastAsia="pt-BR"/>
        </w:rPr>
        <w:t>ITEM 6.1.3. Características da solução para Ambientes de Aprendizagem e Unidades Escolares</w:t>
      </w:r>
    </w:p>
    <w:p w:rsidR="00CC0FD5" w:rsidRPr="00E80E6B" w:rsidRDefault="00CC0FD5" w:rsidP="00CC0FD5">
      <w:pPr>
        <w:jc w:val="both"/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O documento não deixa claro de quem será a responsabilidade em caso de furto dos equipamentos, considerando que estarão dentro das dependências da escola e são equipamentos de fácil comercialização (em caso de uso de PCs e notebooks).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>SEDUC: Responsabilidade da SEDUC, que arcará com custos desta natureza e reposição do equipamento danificado/furtado/defeituoso.</w:t>
      </w:r>
    </w:p>
    <w:p w:rsidR="00CC0FD5" w:rsidRPr="00E80E6B" w:rsidRDefault="00CC0FD5" w:rsidP="00CC0FD5">
      <w:pPr>
        <w:jc w:val="both"/>
      </w:pPr>
    </w:p>
    <w:p w:rsidR="00CC0FD5" w:rsidRPr="00E80E6B" w:rsidRDefault="00CC0FD5" w:rsidP="00CC0FD5">
      <w:pPr>
        <w:jc w:val="both"/>
      </w:pPr>
    </w:p>
    <w:p w:rsidR="00CC0FD5" w:rsidRPr="00E80E6B" w:rsidRDefault="00CC0FD5" w:rsidP="00CC0FD5">
      <w:pPr>
        <w:jc w:val="both"/>
        <w:rPr>
          <w:rFonts w:eastAsia="Times New Roman" w:cs="Arial"/>
          <w:b/>
          <w:color w:val="4472C4" w:themeColor="accent1"/>
          <w:lang w:eastAsia="pt-BR"/>
        </w:rPr>
      </w:pPr>
      <w:r w:rsidRPr="00E80E6B">
        <w:rPr>
          <w:rFonts w:eastAsia="Times New Roman" w:cs="Arial"/>
          <w:b/>
          <w:color w:val="4472C4" w:themeColor="accent1"/>
          <w:lang w:eastAsia="pt-BR"/>
        </w:rPr>
        <w:t>OUTROS</w:t>
      </w:r>
    </w:p>
    <w:p w:rsidR="00CC0FD5" w:rsidRPr="00E80E6B" w:rsidRDefault="00CC0FD5" w:rsidP="00CC0FD5">
      <w:pPr>
        <w:jc w:val="both"/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O documento menciona o uso da plataforma de Cloud Microsoft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Azzure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para streaming de vídeo. Existe algum motivo técnico para uso desta plataforma ou poderão ser utilizadas quaisquer plataformas de streaming que atendam as especificações?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>SEDUC: Por conveniência administrativa, a SEDUC se reserva o direito de estabelecer a plataforma supramencionada.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 O projeto prevê o fornecimento de TVs e estabilizadores pelo contratante. Estes produtos serão adquiridos em edital específico e existe risco de atraso no fornecimento destes itens em relação ao edital de serviços. Também não há definição quanto a responsabilidade pela manutenção e operação destes equipamentos. Nossa sugestão é o fornecimento de solução única no mesmo lote.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>SEDUC: Responsabilidade da SEDUC, que arcará com custos desta natureza e reposição do equipamento danificado/furtado/defeituoso.</w:t>
      </w: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sz w:val="28"/>
          <w:szCs w:val="28"/>
          <w:lang w:eastAsia="pt-BR"/>
        </w:rPr>
      </w:pPr>
      <w:r w:rsidRPr="00E80E6B">
        <w:rPr>
          <w:rFonts w:eastAsia="Times New Roman" w:cs="Calibri"/>
          <w:b/>
          <w:color w:val="000000"/>
          <w:sz w:val="28"/>
          <w:szCs w:val="28"/>
          <w:lang w:eastAsia="pt-BR"/>
        </w:rPr>
        <w:lastRenderedPageBreak/>
        <w:t>Dados de Identificação:</w:t>
      </w: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sz w:val="28"/>
          <w:szCs w:val="28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sz w:val="28"/>
          <w:szCs w:val="28"/>
          <w:lang w:eastAsia="pt-BR"/>
        </w:rPr>
      </w:pPr>
      <w:r w:rsidRPr="00E80E6B">
        <w:rPr>
          <w:rFonts w:eastAsia="Times New Roman" w:cs="Calibri"/>
          <w:b/>
          <w:color w:val="000000"/>
          <w:sz w:val="28"/>
          <w:szCs w:val="28"/>
          <w:lang w:eastAsia="pt-BR"/>
        </w:rPr>
        <w:t xml:space="preserve">Nome: Marcos </w:t>
      </w:r>
      <w:proofErr w:type="spellStart"/>
      <w:r w:rsidRPr="00E80E6B">
        <w:rPr>
          <w:rFonts w:eastAsia="Times New Roman" w:cs="Calibri"/>
          <w:b/>
          <w:color w:val="000000"/>
          <w:sz w:val="28"/>
          <w:szCs w:val="28"/>
          <w:lang w:eastAsia="pt-BR"/>
        </w:rPr>
        <w:t>Secco</w:t>
      </w:r>
      <w:proofErr w:type="spellEnd"/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sz w:val="28"/>
          <w:szCs w:val="28"/>
          <w:lang w:eastAsia="pt-BR"/>
        </w:rPr>
      </w:pPr>
      <w:r w:rsidRPr="00E80E6B">
        <w:rPr>
          <w:rFonts w:eastAsia="Times New Roman" w:cs="Calibri"/>
          <w:b/>
          <w:color w:val="000000"/>
          <w:sz w:val="28"/>
          <w:szCs w:val="28"/>
          <w:lang w:eastAsia="pt-BR"/>
        </w:rPr>
        <w:t>Empresa: Cisco do Brasil Ltda.</w:t>
      </w: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sz w:val="28"/>
          <w:szCs w:val="28"/>
          <w:lang w:eastAsia="pt-BR"/>
        </w:rPr>
      </w:pPr>
      <w:r w:rsidRPr="00E80E6B">
        <w:rPr>
          <w:rFonts w:eastAsia="Times New Roman" w:cs="Calibri"/>
          <w:b/>
          <w:color w:val="000000"/>
          <w:sz w:val="28"/>
          <w:szCs w:val="28"/>
          <w:lang w:eastAsia="pt-BR"/>
        </w:rPr>
        <w:t xml:space="preserve">E-mail: </w:t>
      </w:r>
      <w:hyperlink r:id="rId8" w:history="1">
        <w:r w:rsidRPr="00E80E6B">
          <w:rPr>
            <w:rStyle w:val="Hyperlink"/>
            <w:rFonts w:eastAsia="Times New Roman" w:cs="Calibri"/>
            <w:b/>
            <w:sz w:val="28"/>
            <w:szCs w:val="28"/>
            <w:lang w:eastAsia="pt-BR"/>
          </w:rPr>
          <w:t>msecco@cisco.com</w:t>
        </w:r>
      </w:hyperlink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sz w:val="28"/>
          <w:szCs w:val="28"/>
          <w:lang w:eastAsia="pt-BR"/>
        </w:rPr>
      </w:pPr>
      <w:r w:rsidRPr="00E80E6B">
        <w:rPr>
          <w:rFonts w:eastAsia="Times New Roman" w:cs="Calibri"/>
          <w:b/>
          <w:color w:val="000000"/>
          <w:sz w:val="28"/>
          <w:szCs w:val="28"/>
          <w:lang w:eastAsia="pt-BR"/>
        </w:rPr>
        <w:t>Data: 10/07/2019 às 18h46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4472C4" w:themeColor="accent1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Arial"/>
          <w:b/>
          <w:color w:val="4472C4" w:themeColor="accent1"/>
          <w:lang w:eastAsia="pt-BR"/>
        </w:rPr>
      </w:pPr>
      <w:r w:rsidRPr="00E80E6B">
        <w:rPr>
          <w:rFonts w:eastAsia="Times New Roman" w:cs="Arial"/>
          <w:b/>
          <w:color w:val="4472C4" w:themeColor="accent1"/>
          <w:lang w:eastAsia="pt-BR"/>
        </w:rPr>
        <w:t>ITEM 6.1.1. Especificação técnica da solução de transmissão e colaboração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Página 10. Item 6.1.1 diz: “a utilização da infraestrutura de conectividade da Rede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Intragov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, por meio dos links já instalados nos respectivos ambientes, sendo que, haverá uma garantia de banda de até 2 Mbps por ambiente;”. Entendemos que a conexão da “Rede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Intragov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” com o site central ou datacenter, requer uma banda maior do que os links mencionados no documento base. Nosso entendimento está correto? Qual será a banda fornecida?  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>SEDUC: Questão respondida na própria audiência. O link garantido para cada ponto contemplado no projeto será de 2 Mbps, conforme documento base</w:t>
      </w:r>
      <w:r w:rsidRPr="00E80E6B">
        <w:rPr>
          <w:rFonts w:eastAsia="Times New Roman" w:cs="Calibri"/>
          <w:b/>
          <w:bCs/>
          <w:lang w:eastAsia="pt-BR"/>
        </w:rPr>
        <w:t xml:space="preserve"> e para o ambiente central, será previsto um canal de comunicação capaz de atender todas as conexões.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>Página 10. Item 6.1.1 diz: “a instalação de todos os recursos centrais (servidores e demais itens) nas dependências da EFAPE”. Entendemos que a solução precisa ser “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On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Premisses”. Nosso entendimento está correto? Podemos ofertar uma solução com hospedagem na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núvem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ou híbrida?  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SEDUC: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>A EFAPE deverá centralizar servidores e aplicações. Portanto a infraestrutura que suportará os serviços é da EFAPE e os fornecedores deverão implementar as aplicações nesta infraestrutura. Para tanto, o Edital facultará os licitantes, executarem “vistoria técnica”, previamente à participação no certame.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Página 10. Item 6.1.1 diz: “Solução que possibilite acesso por meio de computadores, notebooks, smartphones ou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appliances</w:t>
      </w:r>
      <w:proofErr w:type="spellEnd"/>
      <w:r w:rsidRPr="00E80E6B">
        <w:rPr>
          <w:rFonts w:eastAsia="Times New Roman" w:cs="Calibri"/>
          <w:color w:val="000000"/>
          <w:lang w:eastAsia="pt-BR"/>
        </w:rPr>
        <w:t>;”. Entendemos que a especificação desses “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appliances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” citados no texto, não está descrito no documento base. Desta forma, entendemos que o objeto a ser fornecido será um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endpoint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dedicado para vídeo conferência (não baseado em PC), com capacidade touchscreen, que tenha integração com a solução proposta e que deverá ser especificado no projeto final.   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SEDUC: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Os sistemas operacionais que devem ser suportados pela solução estão descritos no documento, a saber: Windows, Android e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pt-BR"/>
        </w:rPr>
        <w:t>MacOS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. As funcionalidades das aplicações que rodarão nos sistemas operacionais arrolados anteriormente também se encontram descritas no documento </w:t>
      </w:r>
      <w:r w:rsidRPr="003A5031">
        <w:rPr>
          <w:rFonts w:ascii="Calibri" w:eastAsia="Times New Roman" w:hAnsi="Calibri" w:cs="Calibri"/>
          <w:b/>
          <w:bCs/>
          <w:lang w:eastAsia="pt-BR"/>
        </w:rPr>
        <w:t xml:space="preserve">base. </w:t>
      </w:r>
      <w:r w:rsidRPr="003A5031">
        <w:rPr>
          <w:rFonts w:eastAsia="Times New Roman" w:cs="Calibri"/>
          <w:b/>
          <w:bCs/>
        </w:rPr>
        <w:t xml:space="preserve">As características mínimas dos equipamentos Tipo 1 e Tipo 2 estão descritas no documento base, item 6.1.1 e 6.1.2. </w:t>
      </w:r>
      <w:r w:rsidRPr="003A5031">
        <w:rPr>
          <w:rFonts w:ascii="Calibri" w:eastAsia="Times New Roman" w:hAnsi="Calibri" w:cs="Calibri"/>
          <w:b/>
          <w:bCs/>
          <w:lang w:eastAsia="pt-BR"/>
        </w:rPr>
        <w:t xml:space="preserve">Para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além disto, o Edital exigirá aplicações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lastRenderedPageBreak/>
        <w:t>para os sistemas operacionais Android e iOS, cujas funcionalidades serão detalhadas no edital.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Página 10. Item 6.1.1 diz: “Suportar nativamente transmissões das sessões de conferência para sistemas operacionais Windows, Android e iOS;”. Entendemos que a solução deve suportar o sistema operacional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MacOs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, ampliando a compatibilidade de dispositivos suportados. Nosso entendimento está correto?  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SEDUC: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Procedente,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pt-BR"/>
        </w:rPr>
        <w:t>MacOS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será incluído no Edital.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Página 10. Item 6.1.1 diz: “Permitir a interação simultânea, por áudio e vídeo, de pelo menos dois participantes dentro de uma mesma sessão de transmissão;”. Entendemos que este quantitativo de participantes em interação simultânea dentro de uma sessão, deve ser de, no mínimo, 100 localidades com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endpoints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de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video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, para que a experiência de interação simultânea tenha valor para a EFAPE. Nosso entendimento está correto?  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SEDUC: </w:t>
      </w:r>
      <w:r w:rsidRPr="004212DF">
        <w:rPr>
          <w:rFonts w:ascii="Calibri" w:eastAsia="Times New Roman" w:hAnsi="Calibri" w:cs="Calibri"/>
          <w:b/>
          <w:bCs/>
          <w:lang w:eastAsia="pt-BR"/>
        </w:rPr>
        <w:t xml:space="preserve">Não. </w:t>
      </w:r>
      <w:r w:rsidRPr="004212DF">
        <w:rPr>
          <w:rFonts w:eastAsia="Times New Roman" w:cs="Calibri"/>
          <w:b/>
          <w:bCs/>
        </w:rPr>
        <w:t>O entendimento não está correto. As transmissões de áudio e vídeo em cada sessão, deverão suportar até 2 usuários palestrantes interagindo simultaneamente. Os demais usuários, ficarão habilitados para receber streaming de áudio e vídeo dos palestrantes, troca de mensagens públicas e privadas entre todos os participantes da sessão e ainda sinalizar pedido para entrar em videoconferência, que será permitida ou não pelo mediador. A solução inicial deverá prever até 3000 conexões, podendo ser em uma mesma sessão de videoconferência ou em várias seções com dois ou mais participantes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>.</w:t>
      </w: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>Página 10. Item 6.1.1 diz: “Possibilitar a transmissão de streaming de vídeos pré-gravados;”. Entendemos que o streaming de vídeo deve ser disponibilizado em uma plataforma. Qual seria esta plataforma a ser disponibilizado o streaming pré-gravado? Qual(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is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) a(s) qualidade(s) que o vídeo pré-gravado deve ser disponibilizado,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ex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: 480p e 60fps, 720p e 60fps, 1080p e 120fps? Essa transmissão deve ser disponibilizada através de plataforma interna ou externa de conteúdo? Como será a autenticação dos usuários que acessarão essa plataforma para consumirem o conteúdo pré-gravado? Qual será a base de dados que irá integrar com a solução para fazer a autenticação dos usuários?  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SEDUC: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Neste caso, o entendimento é que a estrutura de estúdio deve permitir a utilização de vídeos pré-gravados dentro do roteiro de aula presencial mediada por tecnologia. Para isto, há de se prever um player tipo VT (“vídeo Tape”) na cadeia de produção de estúdio, vinculado ao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pt-BR"/>
        </w:rPr>
        <w:t>switcher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do estúdio.</w:t>
      </w: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Página 11. Item 6.1.1 diz: “Apresentar padrões de compressão para mídia H.264, H.265 e VP9, além dos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codecs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de áudio: SPEEX, G.711 e OPUS;”. Entendemos que os protocolos padrão de mercado são: 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Video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– H</w:t>
      </w:r>
      <w:proofErr w:type="gramStart"/>
      <w:r w:rsidRPr="00E80E6B">
        <w:rPr>
          <w:rFonts w:eastAsia="Times New Roman" w:cs="Calibri"/>
          <w:color w:val="000000"/>
          <w:lang w:eastAsia="pt-BR"/>
        </w:rPr>
        <w:t xml:space="preserve">264 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Audio</w:t>
      </w:r>
      <w:proofErr w:type="spellEnd"/>
      <w:proofErr w:type="gramEnd"/>
      <w:r w:rsidRPr="00E80E6B">
        <w:rPr>
          <w:rFonts w:eastAsia="Times New Roman" w:cs="Calibri"/>
          <w:color w:val="000000"/>
          <w:lang w:eastAsia="pt-BR"/>
        </w:rPr>
        <w:t xml:space="preserve"> – G711, OPUS e AAC-LD  Para diminuir o processamento e consumo dos recursos de hardware e otimizar o desempenho da solução proposta, estes seriam os protocolos adequados para a solução. Sugerimos a adequação para estes itens. 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Default="00CC0FD5" w:rsidP="00CC0FD5">
      <w:pPr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SEDUC: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>Esta é uma escolha discricionária da SEDUC e esta Administração entende que faz sentido exigir transmissões também em CODEC H265. Ponderamos que o CODEC H265 é mais eficiente em relação ao uso de banda, quando comparados com os demais, também arrolados no Documento Base. Em outras palavras, é maior qualidade de vídeo sem aumento de custos de links/banda de internet.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Página 11. Item 6.1.1 diz: “Suportar resolução HD720p 30fps utilizando H.264 (vídeo);”. Esta resolução é muito baixa considerando as tecnologias atuais e os televisores especificados no documento exigem resolução de 4k. Entendemos que o recomendável para a solução seria, no mínimo, HD1080p 30fps UTILIZANDO H264 (vídeo), nosso entendimento está correto?  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Default="00CC0FD5" w:rsidP="00CC0FD5">
      <w:pPr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C83E77">
        <w:rPr>
          <w:rFonts w:ascii="Calibri" w:eastAsia="Times New Roman" w:hAnsi="Calibri" w:cs="Calibri"/>
          <w:b/>
          <w:bCs/>
          <w:color w:val="000000"/>
          <w:lang w:eastAsia="pt-BR"/>
        </w:rPr>
        <w:t>SEDUC: Será incluído no item 6.1.1 “Suportar resolução HD1080p 30fps utilizando H264 (vídeo)</w:t>
      </w:r>
      <w:r w:rsidR="00EF469D">
        <w:rPr>
          <w:rFonts w:ascii="Calibri" w:eastAsia="Times New Roman" w:hAnsi="Calibri" w:cs="Calibri"/>
          <w:b/>
          <w:bCs/>
          <w:color w:val="000000"/>
          <w:lang w:eastAsia="pt-BR"/>
        </w:rPr>
        <w:t>”</w:t>
      </w:r>
      <w:r w:rsidRPr="00C83E77">
        <w:rPr>
          <w:rFonts w:ascii="Calibri" w:eastAsia="Times New Roman" w:hAnsi="Calibri" w:cs="Calibri"/>
          <w:b/>
          <w:bCs/>
          <w:color w:val="000000"/>
          <w:lang w:eastAsia="pt-BR"/>
        </w:rPr>
        <w:t>.</w:t>
      </w: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FF0000"/>
          <w:lang w:eastAsia="pt-BR"/>
        </w:rPr>
      </w:pPr>
      <w:r w:rsidRPr="00E80E6B">
        <w:rPr>
          <w:rFonts w:eastAsia="Times New Roman" w:cs="Calibri"/>
          <w:b/>
          <w:bCs/>
          <w:color w:val="FF0000"/>
          <w:lang w:eastAsia="pt-BR"/>
        </w:rPr>
        <w:t xml:space="preserve">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 Página 11. Item 6.1.1 diz: “Suportar resolução 576p 30fps utilizando H.264 (vídeo);”. Sugerimos a retirada do item, uma vez que a resolução mínima já foi sugerida no item anterior.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Default="00CC0FD5" w:rsidP="00CC0FD5">
      <w:pPr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SEDUC: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O item será mantido, uma vez que o projeto exigirá entrega com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pt-BR"/>
        </w:rPr>
        <w:t>bitrate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adaptativo. Em outras palavras: apesar de tratarmos da entrega em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pt-BR"/>
        </w:rPr>
        <w:t>FullHD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, esta pode não ser viável, caso a cadeia de recepção tenha banda insuficiente para receber arquivos com a taxa necessária para transmissão em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pt-BR"/>
        </w:rPr>
        <w:t>FullHD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(especialmente em acessos 3G e 4G). Assim sendo, a taxa de bit deverá ser reduzida até a taxa prevista.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Arial"/>
          <w:b/>
          <w:color w:val="4472C4" w:themeColor="accent1"/>
          <w:lang w:eastAsia="pt-BR"/>
        </w:rPr>
      </w:pPr>
      <w:r w:rsidRPr="00E80E6B">
        <w:rPr>
          <w:rFonts w:eastAsia="Times New Roman" w:cs="Arial"/>
          <w:b/>
          <w:color w:val="4472C4" w:themeColor="accent1"/>
          <w:lang w:eastAsia="pt-BR"/>
        </w:rPr>
        <w:t>ITEM 6.2.3. Ambientes de Aprendizagem e Unidades Escolares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Página 15. Item 6.2.3 diz: “Tipo 1 – destinados aos Ambientes de Aprendizagem, Órgãos Centrais da SEDUC e salas da EFAPE Notebook com: Processador de 4 núcleos e 8 threads, 8Mb de cache, Memória de 8GB DDR4, HD de 128GB SSD, Saída de vídeo HDMI e VGA, Alimentação bivolt, Conector de áudio (3x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Line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-in,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Line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-out e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Mic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-in); Deve suportar: Codificação e decodificação simultâneas de vídeo VP9, H.265 e H.264, Codificação e decodificação simultâneas de áudio OPUS, SPEEX e G.711, Codificação HD720p 30fps utilizando H.265 (vídeo) com taxa de transmissão inferior a 768Kbps, Codificação 576p 30fps utilizando H.265 (vídeo) com taxa de transmissão inferior a 512Kbps, Envio e recepção de compartilhamento de imagem da tela; Deve acompanhar: Microfone de mão direcional (cardioide) com conexão XLR, Cabo de 3 metros para microfone AM-UC (XLR-USB), com conversor analógico para digital, Webcam USB com resolução mínima de 720p para 30fps, formato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widescreen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e Cabo HDMI 1.5 Metros Ultra HD 3D 4K compatível com PCM, DVD-Áudio, DTS-HD Master Áudio.”.   Entendemos que para alcançar o objetivo de educação a distância com o conceito de interatividade e vídeo conferência, deve se fornecer os equipamentos dedicados e específicos para tal solução. Para isto estão disponíveis novas tecnologias como localização do locutor e uso de câmeras de alta resolução (4kp60) com possibilidade de zoom eletrônico (auto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framing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) que possibilitam o uso em salas com muitos participantes como neste projeto.  Outra tecnologia que não foi contemplada é o uso de telas touchscreen que permitem maior </w:t>
      </w:r>
      <w:r w:rsidRPr="00E80E6B">
        <w:rPr>
          <w:rFonts w:eastAsia="Times New Roman" w:cs="Calibri"/>
          <w:color w:val="000000"/>
          <w:lang w:eastAsia="pt-BR"/>
        </w:rPr>
        <w:lastRenderedPageBreak/>
        <w:t xml:space="preserve">interatividade entre o professor/host da conferência e os demais participantes, permitindo a escrita, marcações e desenhos diretamente na tela. Comprovadamente há um ganho muito maior de produtividade com o uso desta tecnologia interativa.  O uso de notebooks, PCs e televisores também não oferece segurança em caso de furtos pois podem ser facilmente comercializados, portanto sugerimos o uso de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codecs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dedicados que não podem ser utilizados para outras funções e podem ser localizados em caso de furto.  Desta forma sugerimos a alteração do texto de ESPECIFICAÇÕES MÍNIMAS DE REFERÊNCIA sobre o produto “Tipo 1” para no mínimo as seguintes especificações:  “Codec de vídeo dedicado com Câmera em tela touchscreen de no min 55”com sensor 4Kp60, transmissão mínima em H.264 com 1080p, auto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framing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(localização do locutor ou falante), trava no modelo Kensington,”   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SEDUC: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>Esta é uma escolha discricionária da SEDUC. Portanto, o Edital irá prever especificação técnica que, em os licitantes possuindo equipamentos similares ou superiores, poderão oferta-los no certame. Sobre o CODEC, entende-se necessária a manutenção do H265, pelos motivos anteriormente elucidados (otimização de banda, especialmente).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Página 15. Item 6.2.3 diz: “Tipo 2 – destinados às Unidades Escolares Dispositivo baseado em computador, notebook ou tipo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appliance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com conexões: 4x USB, 1x HDMI, 1x SD/MMC, 1x SPDIF (áudio) 1x porta ethernet 10/100; Deve suportar: Decodificação de vídeo VP9, H.265 e H.264, Decodificação de áudio OPUS, SPEEX e G.711, Codificação de vídeo H.264, Codificação de áudio OPUS, Codificação 360p 20fps H.264 / OPUS em 512 Kbps simultaneamente à decodificação H.265 720p 30fps, Recepção de compartilhamento de imagem da tela simultânea a decodificação dos vídeos dos demais participantes. Deve acompanhar: Mouse e teclado USB; Microfone de mão direcional (cardioide) com conexão XLR, Cabo de 3 metros para microfone AM-UC (XLR-USB) com conversor analógico para digital, Câmera ou Webcam USB com resolução mínima de 720p para 30fps, formato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widescreen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e Cabo HDMI 1.5 metros Ultra HD 3D 4K compatível com PCM, DVD-Áudio, DTS-HD Master Áudio.”  Identificamos que o Tipo 2 não está especificado com características de hardware para o notebook ou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appliance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, por isso, sugerimos a seguinte alteração de texto, para ficar adequado ao projeto:  Entendemos que para alcançar o objetivo de educação a distância com o conceito de interatividade e vídeo conferência, deve se fornecer os equipamentos dedicados e específicos para tal solução. Para isto estão disponíveis novas tecnologias como localização do locutor e uso de câmeras de alta resolução (4kp60) com possibilidade de zoom eletrônico (auto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framing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) que possibilitam o uso em salas com muitos participantes como neste projeto.  Outra tecnologia que não foi contemplada é o uso de telas touchscreen que permitem maior interatividade entre o professor/host da conferência e os demais participantes, permitindo a escrita, marcações e desenhos diretamente na tela. Comprovadamente há um ganho muito maior de produtividade com o uso desta tecnologia interativa.  O uso de notebooks, PCs e televisores também não oferece segurança em caso de furtos pois podem ser facilmente comercializados, portanto sugerimos o uso de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codecs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dedicados que não podem ser utilizados para outras funções e podem ser localizados em caso de furto.  Desta forma sugerimos a alteração do texto de ESPECIFICAÇÕES MÍNIMAS DE REFERÊNCIA sobre o produto “Tipo 1” para no mínimo as seguintes especificações:  “Codec de vídeo dedicado com Câmera em tela touchscreen de no min 55”com sensor 4Kp60, transmissão mínima em H.264 com 1080p, auto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framing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(localização do locutor ou falante), trava no modelo Kensington,”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lastRenderedPageBreak/>
        <w:t xml:space="preserve">SEDUC: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 utilização de uma plataforma de hardware tipo “comodities” tendem a baratear o projeto e ainda minimizam tempo de substituição e reposição de equipamentos. Apesar do projeto ser pensado para modelagem de negócios com aluguel de equipamentos (excluindo Tvs de sala de aula e estabilizadores), o Edital irá prever prazos máximos para substituição de equipamentos, visando manter o nível de atendimento dos pontos atendidos pelo projeto. Além disto, sob a ótica da economicidade e perenidade, faz mais sentido demandar equipamentos “de prateleira” do que equipamentos </w:t>
      </w:r>
      <w:proofErr w:type="spellStart"/>
      <w:r w:rsidRPr="009D7BEC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tailormade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pt-BR"/>
        </w:rPr>
        <w:t>. Por fim, conforme elucidado anteriormente, os licitantes poderão oferecer equipamentos similares ou superiores aos constantes no Edital.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Arial"/>
          <w:b/>
          <w:color w:val="4472C4" w:themeColor="accent1"/>
          <w:lang w:eastAsia="pt-BR"/>
        </w:rPr>
      </w:pPr>
      <w:r w:rsidRPr="00E80E6B">
        <w:rPr>
          <w:rFonts w:eastAsia="Times New Roman" w:cs="Arial"/>
          <w:b/>
          <w:color w:val="4472C4" w:themeColor="accent1"/>
          <w:lang w:eastAsia="pt-BR"/>
        </w:rPr>
        <w:t>ITEM 6.2.5. Ambiente de Tecnologia da Informação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Página 17. Item 6.2.5 diz: “QTDE.  ITEM ESPECIFICAÇÕES MÍNIMAS DE REFERÊNCIA  01 Rack Medida: 44U: Com 2 patch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panel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24 portas cat6; </w:t>
      </w:r>
      <w:proofErr w:type="gramStart"/>
      <w:r w:rsidRPr="00E80E6B">
        <w:rPr>
          <w:rFonts w:eastAsia="Times New Roman" w:cs="Calibri"/>
          <w:color w:val="000000"/>
          <w:lang w:eastAsia="pt-BR"/>
        </w:rPr>
        <w:t>48 patch</w:t>
      </w:r>
      <w:proofErr w:type="gramEnd"/>
      <w:r w:rsidRPr="00E80E6B">
        <w:rPr>
          <w:rFonts w:eastAsia="Times New Roman" w:cs="Calibri"/>
          <w:color w:val="000000"/>
          <w:lang w:eastAsia="pt-BR"/>
        </w:rPr>
        <w:t xml:space="preserve">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cord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injetado 1,5mt cat6; 3 guias de cabo para rack; 100 kits porca gaiola + parafuso para rack; 2 Bandejas fixas; 1 Bandeja móvel.  01 Switch de rede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Layer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2; 48 portas RJ45 de 1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GbE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; 4 portas SFP+ de 10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GbE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.  01 Firewall NGFW; com IPS; AV e análise de ameaças em nuvem.  01 Servidor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Servidor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de rack com Chassi de 3,5" com até 8 unidades de discos rígidos de conector automático; Sistema de virtualização para gerenciamento das máquinas virtuais; Servidor de AD DC (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domain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controler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); Servidor de AD DC (secundário); 1 processador de 3,6 GHz, 4 núcleos/8 segmentos; Cache de 16,5MB, 2 Memoria 16GB DDR4; 8 discos 4TB NLSAS 12Gb/s 7200 RPM 3.5; 1 placa controladora com suporte a RAID 0/1/5/10 compatível com o disco especificado; 2 placas de rede com suporte ao barramento 10 Gigabit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onboard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; 2 placas de rede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quad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com suporte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a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barramento 1 Gigabit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offboard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; 1 placa de rede porta dupla 10Gb SFP+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offboard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; 1 leitor DVD+/-RW; 1 Placa mãe compatível; Fonte redundante; 2 Cabos de alimentação de 1,8 metros, 250V.  01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Storage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NAS Processador 1.70Ghz, 15MB cache, 6 núcleos/6 segmentos; Chassi de 3,5" com capacidade de até 24 discos rígidos; 14 Discos 12TB SAS 12Gb/s 7200RPM 3.5; 4 memorias de 16GB DDR4 2400Mhz ECC; 1 placa de rede 10 Gigabit Dual-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Port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offboard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; 1 Placa porta dupla 10Gb SFP+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offboard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.  01 Gravador digital de vídeo Gravador de vídeo em rede (NVD); Entrada para 32 canais.  02 Computador Processador 2.8Ghz com 6 núcleos/6 threads; Memória 8GB 2400Mhz DDR4; 1 Placa mãe com suporte à memória DDR4; Gabinete compatível; Fonte real 600W 80 Plus; 1 HD SSD 2.5 240GB; </w:t>
      </w:r>
      <w:proofErr w:type="gramStart"/>
      <w:r w:rsidRPr="00E80E6B">
        <w:rPr>
          <w:rFonts w:eastAsia="Times New Roman" w:cs="Calibri"/>
          <w:color w:val="000000"/>
          <w:lang w:eastAsia="pt-BR"/>
        </w:rPr>
        <w:t>Teclado</w:t>
      </w:r>
      <w:proofErr w:type="gramEnd"/>
      <w:r w:rsidRPr="00E80E6B">
        <w:rPr>
          <w:rFonts w:eastAsia="Times New Roman" w:cs="Calibri"/>
          <w:color w:val="000000"/>
          <w:lang w:eastAsia="pt-BR"/>
        </w:rPr>
        <w:t xml:space="preserve"> e Mouse; Monitor 19.  03 Notebook Processador 1.80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Ghz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com 4 núcleos/8 threads, cache 8MB; Tela LED Full HD IPS de 14" (1920x1080); HD de 1TB + 128GB SSD; Memória de 16GB DDR4.”  Entendemos que o projeto, não considera pontos fundamentos de qualidade de serviços para a solução proposta. Numa solução de voz e vídeo é primordial que tenhamos controle de marcação de pacote como: DSCP,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ToS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,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CoS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, SRR ou WRR,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MultiCast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, etc.  Os modelos solicitados precisam ser detalhados para evitar problemas de resolução e qualidade de áudio durante as transmissões e colaborações que são escopo do projeto. Tais como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Jitter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, perda de pacote e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delay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.  Da mesma forma o firewall não especifica características de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throughput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de dados, priorização de aplicação, tráfego na rede, atualização automática da base de IPS, AV e NGFW, etc.  O servidor também está dimensionado da forma incorreta. O padrão de mercado seria 19” e não 3,5” como está descrito no documento.  No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Storage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NAS, não informa nível de proteção (RAID) a ser implementado e o projeto não se preocupou com o backup destas informações do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storage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.  No gravado digital de vídeo, não especifica a quantidade de arquivos e tamanho dos mesmos a serem armazenados, nem a </w:t>
      </w:r>
      <w:r w:rsidRPr="00E80E6B">
        <w:rPr>
          <w:rFonts w:eastAsia="Times New Roman" w:cs="Calibri"/>
          <w:color w:val="000000"/>
          <w:lang w:eastAsia="pt-BR"/>
        </w:rPr>
        <w:lastRenderedPageBreak/>
        <w:t xml:space="preserve">duração e plano de expansão para continuidade do vídeo na plataforma. Qual o tipo de canal a ser conectado (analógico, IP ou digital?)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C83E77" w:rsidRDefault="00CC0FD5" w:rsidP="00CC0FD5">
      <w:pPr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C83E77">
        <w:rPr>
          <w:rFonts w:ascii="Calibri" w:eastAsia="Times New Roman" w:hAnsi="Calibri" w:cs="Calibri"/>
          <w:b/>
          <w:color w:val="000000"/>
          <w:lang w:eastAsia="pt-BR"/>
        </w:rPr>
        <w:t>SEDUC: Os equipamentos abaixo relacionando terão o seu detalhamento técnico alterado conforme a seguir:</w:t>
      </w:r>
    </w:p>
    <w:p w:rsidR="00CC0FD5" w:rsidRPr="002D04EE" w:rsidRDefault="00CC0FD5" w:rsidP="00CC0FD5">
      <w:pPr>
        <w:jc w:val="both"/>
        <w:rPr>
          <w:rFonts w:ascii="Calibri" w:eastAsia="Times New Roman" w:hAnsi="Calibri" w:cs="Calibri"/>
          <w:color w:val="000000"/>
          <w:highlight w:val="green"/>
          <w:lang w:eastAsia="pt-BR"/>
        </w:rPr>
      </w:pPr>
    </w:p>
    <w:p w:rsidR="00CC0FD5" w:rsidRPr="00C83E77" w:rsidRDefault="00CC0FD5" w:rsidP="00CC0FD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pt-BR"/>
        </w:rPr>
      </w:pPr>
      <w:r w:rsidRPr="00C83E77">
        <w:rPr>
          <w:rFonts w:eastAsia="Times New Roman" w:cs="Calibri"/>
          <w:lang w:eastAsia="pt-BR"/>
        </w:rPr>
        <w:t xml:space="preserve">Switch de rede: Características mínimas a seguir; </w:t>
      </w:r>
      <w:proofErr w:type="spellStart"/>
      <w:r w:rsidRPr="00C83E77">
        <w:rPr>
          <w:rFonts w:eastAsia="Times New Roman" w:cs="Calibri"/>
          <w:b/>
          <w:lang w:eastAsia="pt-BR"/>
        </w:rPr>
        <w:t>Layer</w:t>
      </w:r>
      <w:proofErr w:type="spellEnd"/>
      <w:r w:rsidRPr="00C83E77">
        <w:rPr>
          <w:rFonts w:eastAsia="Times New Roman" w:cs="Calibri"/>
          <w:b/>
          <w:lang w:eastAsia="pt-BR"/>
        </w:rPr>
        <w:t xml:space="preserve"> 2; 48 portas RJ45 de 1 </w:t>
      </w:r>
      <w:proofErr w:type="spellStart"/>
      <w:r w:rsidRPr="00C83E77">
        <w:rPr>
          <w:rFonts w:eastAsia="Times New Roman" w:cs="Calibri"/>
          <w:b/>
          <w:lang w:eastAsia="pt-BR"/>
        </w:rPr>
        <w:t>Gbps</w:t>
      </w:r>
      <w:proofErr w:type="spellEnd"/>
      <w:r w:rsidRPr="00C83E77">
        <w:rPr>
          <w:rFonts w:eastAsia="Times New Roman" w:cs="Calibri"/>
          <w:b/>
          <w:lang w:eastAsia="pt-BR"/>
        </w:rPr>
        <w:t xml:space="preserve">; 2 portas SFP+ de 10 </w:t>
      </w:r>
      <w:proofErr w:type="spellStart"/>
      <w:r w:rsidRPr="00C83E77">
        <w:rPr>
          <w:rFonts w:eastAsia="Times New Roman" w:cs="Calibri"/>
          <w:b/>
          <w:lang w:eastAsia="pt-BR"/>
        </w:rPr>
        <w:t>Gbpb,s</w:t>
      </w:r>
      <w:proofErr w:type="spellEnd"/>
      <w:r w:rsidRPr="00C83E77">
        <w:rPr>
          <w:rFonts w:eastAsia="Times New Roman" w:cs="Calibri"/>
          <w:b/>
          <w:lang w:eastAsia="pt-BR"/>
        </w:rPr>
        <w:t xml:space="preserve"> incluso </w:t>
      </w:r>
      <w:proofErr w:type="spellStart"/>
      <w:r w:rsidRPr="00C83E77">
        <w:rPr>
          <w:rFonts w:eastAsia="Times New Roman" w:cs="Calibri"/>
          <w:b/>
          <w:lang w:eastAsia="pt-BR"/>
        </w:rPr>
        <w:t>Gbics</w:t>
      </w:r>
      <w:proofErr w:type="spellEnd"/>
      <w:r w:rsidRPr="00C83E77">
        <w:rPr>
          <w:rFonts w:eastAsia="Times New Roman" w:cs="Calibri"/>
          <w:b/>
          <w:lang w:eastAsia="pt-BR"/>
        </w:rPr>
        <w:t xml:space="preserve"> no padrão SFP-10GBase-SR; Capacidade de encaminhamento de no mínimo </w:t>
      </w:r>
      <w:r w:rsidRPr="00C83E77">
        <w:rPr>
          <w:rFonts w:eastAsia="Times New Roman" w:cs="Calibri"/>
          <w:b/>
          <w:u w:val="single"/>
          <w:lang w:eastAsia="pt-BR"/>
        </w:rPr>
        <w:t xml:space="preserve">48 </w:t>
      </w:r>
      <w:proofErr w:type="spellStart"/>
      <w:r w:rsidRPr="00C83E77">
        <w:rPr>
          <w:rFonts w:eastAsia="Times New Roman" w:cs="Calibri"/>
          <w:b/>
          <w:lang w:eastAsia="pt-BR"/>
        </w:rPr>
        <w:t>Gbps</w:t>
      </w:r>
      <w:proofErr w:type="spellEnd"/>
      <w:r w:rsidRPr="00C83E77">
        <w:rPr>
          <w:rFonts w:eastAsia="Times New Roman" w:cs="Calibri"/>
          <w:b/>
          <w:lang w:eastAsia="pt-BR"/>
        </w:rPr>
        <w:t xml:space="preserve">; Suporte aos protocolos IEEE 802.1D, IEEE 802.1w e IEEE 802.1s, IEEE 802.3ad, IPV4/IPV6, SNMP; Deve implementar QOS com classificação, marcação e priorização de tráfego baseado em 802.1p </w:t>
      </w:r>
      <w:proofErr w:type="spellStart"/>
      <w:r w:rsidRPr="00C83E77">
        <w:rPr>
          <w:rFonts w:eastAsia="Times New Roman" w:cs="Calibri"/>
          <w:b/>
          <w:lang w:eastAsia="pt-BR"/>
        </w:rPr>
        <w:t>CoS</w:t>
      </w:r>
      <w:proofErr w:type="spellEnd"/>
      <w:r w:rsidRPr="00C83E77">
        <w:rPr>
          <w:rFonts w:eastAsia="Times New Roman" w:cs="Calibri"/>
          <w:b/>
          <w:lang w:eastAsia="pt-BR"/>
        </w:rPr>
        <w:t xml:space="preserve"> e DSCP conforme IETF; </w:t>
      </w:r>
      <w:r w:rsidRPr="00C83E77">
        <w:rPr>
          <w:b/>
        </w:rPr>
        <w:t>incluso todos os cabos e acessórios necessários para o perfeito funcionamento do equipamento.</w:t>
      </w:r>
    </w:p>
    <w:p w:rsidR="00CC0FD5" w:rsidRPr="00C83E77" w:rsidRDefault="00CC0FD5" w:rsidP="00CC0FD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lang w:eastAsia="pt-BR"/>
        </w:rPr>
      </w:pPr>
      <w:r w:rsidRPr="00C83E77">
        <w:rPr>
          <w:rFonts w:eastAsia="Times New Roman" w:cs="Calibri"/>
          <w:lang w:eastAsia="pt-BR"/>
        </w:rPr>
        <w:t xml:space="preserve">Firewall: </w:t>
      </w:r>
      <w:r w:rsidRPr="00C83E77">
        <w:rPr>
          <w:b/>
        </w:rPr>
        <w:t xml:space="preserve">NGFW; com IPS, controle de aplicação, antivírus; mínimo de </w:t>
      </w:r>
      <w:r w:rsidRPr="00C83E77">
        <w:rPr>
          <w:rFonts w:eastAsia="Times New Roman" w:cs="Calibri"/>
          <w:b/>
          <w:u w:val="single"/>
          <w:lang w:eastAsia="pt-BR"/>
        </w:rPr>
        <w:t xml:space="preserve">5 </w:t>
      </w:r>
      <w:r w:rsidRPr="00C83E77">
        <w:rPr>
          <w:b/>
        </w:rPr>
        <w:t xml:space="preserve">interfaces de rede RJ45 de 1 </w:t>
      </w:r>
      <w:proofErr w:type="spellStart"/>
      <w:r w:rsidRPr="00C83E77">
        <w:rPr>
          <w:b/>
        </w:rPr>
        <w:t>Gbps</w:t>
      </w:r>
      <w:proofErr w:type="spellEnd"/>
      <w:r w:rsidRPr="00C83E77">
        <w:rPr>
          <w:b/>
        </w:rPr>
        <w:t xml:space="preserve">; Taxa de transferência de </w:t>
      </w:r>
      <w:r w:rsidRPr="00C83E77">
        <w:rPr>
          <w:rFonts w:eastAsia="Times New Roman" w:cs="Calibri"/>
          <w:b/>
          <w:u w:val="single"/>
          <w:lang w:eastAsia="pt-BR"/>
        </w:rPr>
        <w:t>750 M</w:t>
      </w:r>
      <w:r w:rsidRPr="00C83E77">
        <w:rPr>
          <w:b/>
        </w:rPr>
        <w:t xml:space="preserve">bps para Firewall, taxa de transferência de </w:t>
      </w:r>
      <w:r w:rsidRPr="00C83E77">
        <w:rPr>
          <w:rFonts w:eastAsia="Times New Roman" w:cs="Calibri"/>
          <w:b/>
          <w:u w:val="single"/>
          <w:lang w:eastAsia="pt-BR"/>
        </w:rPr>
        <w:t>250</w:t>
      </w:r>
      <w:r w:rsidRPr="00C83E77">
        <w:rPr>
          <w:b/>
        </w:rPr>
        <w:t xml:space="preserve"> Mbps para IPS e taxa de transferência de </w:t>
      </w:r>
      <w:r w:rsidRPr="00C83E77">
        <w:rPr>
          <w:rFonts w:eastAsia="Times New Roman" w:cs="Calibri"/>
          <w:b/>
          <w:u w:val="single"/>
          <w:lang w:eastAsia="pt-BR"/>
        </w:rPr>
        <w:t>150 Mbps</w:t>
      </w:r>
      <w:r w:rsidRPr="00C83E77">
        <w:rPr>
          <w:b/>
        </w:rPr>
        <w:t xml:space="preserve"> para </w:t>
      </w:r>
      <w:proofErr w:type="spellStart"/>
      <w:r w:rsidRPr="00C83E77">
        <w:rPr>
          <w:b/>
        </w:rPr>
        <w:t>Antivirus</w:t>
      </w:r>
      <w:proofErr w:type="spellEnd"/>
      <w:r w:rsidRPr="00C83E77">
        <w:rPr>
          <w:b/>
        </w:rPr>
        <w:t xml:space="preserve">; suporte para </w:t>
      </w:r>
      <w:r w:rsidRPr="00C83E77">
        <w:rPr>
          <w:rFonts w:eastAsia="Times New Roman" w:cs="Calibri"/>
          <w:b/>
          <w:u w:val="single"/>
          <w:lang w:eastAsia="pt-BR"/>
        </w:rPr>
        <w:t>200.000</w:t>
      </w:r>
      <w:r w:rsidRPr="00C83E77">
        <w:rPr>
          <w:b/>
        </w:rPr>
        <w:t xml:space="preserve"> conexões simultâneas; incluso todos os cabos e licenças necessárias pelo  para o perfeito funcionamento do equipamento.</w:t>
      </w:r>
    </w:p>
    <w:p w:rsidR="00CC0FD5" w:rsidRPr="00C83E77" w:rsidRDefault="00CC0FD5" w:rsidP="00CC0FD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lang w:eastAsia="pt-BR"/>
        </w:rPr>
      </w:pPr>
      <w:r w:rsidRPr="00C83E77">
        <w:t xml:space="preserve">Servidor: </w:t>
      </w:r>
      <w:r w:rsidRPr="00C83E77">
        <w:rPr>
          <w:b/>
        </w:rPr>
        <w:t>Servidor de rack com Chassi de 19"</w:t>
      </w:r>
      <w:r w:rsidRPr="00C83E77">
        <w:t xml:space="preserve"> com até 8 unidades de discos rígidos de conector automático; Sistema de virtualização para gerenciamento das máquinas virtuais; Servidor de AD DC (</w:t>
      </w:r>
      <w:proofErr w:type="spellStart"/>
      <w:r w:rsidRPr="00C83E77">
        <w:t>domain</w:t>
      </w:r>
      <w:proofErr w:type="spellEnd"/>
      <w:r w:rsidRPr="00C83E77">
        <w:t xml:space="preserve"> </w:t>
      </w:r>
      <w:proofErr w:type="spellStart"/>
      <w:r w:rsidRPr="00C83E77">
        <w:t>controler</w:t>
      </w:r>
      <w:proofErr w:type="spellEnd"/>
      <w:r w:rsidRPr="00C83E77">
        <w:t xml:space="preserve">); Servidor de AD DC (secundário); 1 processador de 3,6 GHz, 4 núcleos/8 segmentos; Cache de 16,5MB, 2 Memoria 16GB DDR4; 8 discos 4TB NLSAS 12Gb/s 7200 RPM 3.5; 1 placa controladora com suporte a RAID 0/1/5/10 compatível com o disco especificado; 2 placas de rede com suporte ao barramento 10 Gigabit </w:t>
      </w:r>
      <w:proofErr w:type="spellStart"/>
      <w:r w:rsidRPr="00C83E77">
        <w:t>onboard</w:t>
      </w:r>
      <w:proofErr w:type="spellEnd"/>
      <w:r w:rsidRPr="00C83E77">
        <w:t xml:space="preserve">; 2 placas de rede </w:t>
      </w:r>
      <w:proofErr w:type="spellStart"/>
      <w:r w:rsidRPr="00C83E77">
        <w:t>quad</w:t>
      </w:r>
      <w:proofErr w:type="spellEnd"/>
      <w:r w:rsidRPr="00C83E77">
        <w:t xml:space="preserve"> com suporte </w:t>
      </w:r>
      <w:proofErr w:type="spellStart"/>
      <w:r w:rsidRPr="00C83E77">
        <w:t>a</w:t>
      </w:r>
      <w:proofErr w:type="spellEnd"/>
      <w:r w:rsidRPr="00C83E77">
        <w:t xml:space="preserve"> barramento 1 Gigabit </w:t>
      </w:r>
      <w:proofErr w:type="spellStart"/>
      <w:r w:rsidRPr="00C83E77">
        <w:t>offboard</w:t>
      </w:r>
      <w:proofErr w:type="spellEnd"/>
      <w:r w:rsidRPr="00C83E77">
        <w:t xml:space="preserve">; 1 placa de rede porta dupla 10Gb SFP+ </w:t>
      </w:r>
      <w:proofErr w:type="spellStart"/>
      <w:r w:rsidRPr="00C83E77">
        <w:t>offboard</w:t>
      </w:r>
      <w:proofErr w:type="spellEnd"/>
      <w:r w:rsidRPr="00C83E77">
        <w:t xml:space="preserve"> </w:t>
      </w:r>
      <w:r w:rsidRPr="00C83E77">
        <w:rPr>
          <w:b/>
        </w:rPr>
        <w:t xml:space="preserve">, incluso </w:t>
      </w:r>
      <w:proofErr w:type="spellStart"/>
      <w:r w:rsidRPr="00C83E77">
        <w:rPr>
          <w:b/>
        </w:rPr>
        <w:t>Gbics</w:t>
      </w:r>
      <w:proofErr w:type="spellEnd"/>
      <w:r w:rsidRPr="00C83E77">
        <w:rPr>
          <w:b/>
        </w:rPr>
        <w:t xml:space="preserve"> compatíveis com as ofertadas no switch</w:t>
      </w:r>
      <w:r w:rsidRPr="00C83E77">
        <w:t>; 1 leitor DVD+/-RW; 1 Placa mãe compatível; Fonte redundante; 2 Cabos de alimentação de 1,8 metros, 250V.</w:t>
      </w:r>
    </w:p>
    <w:p w:rsidR="00CC0FD5" w:rsidRPr="00C83E77" w:rsidRDefault="00CC0FD5" w:rsidP="00CC0FD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lang w:eastAsia="pt-BR"/>
        </w:rPr>
      </w:pPr>
      <w:proofErr w:type="spellStart"/>
      <w:r w:rsidRPr="00C83E77">
        <w:rPr>
          <w:rFonts w:eastAsia="Times New Roman" w:cs="Calibri"/>
          <w:lang w:eastAsia="pt-BR"/>
        </w:rPr>
        <w:t>Storage</w:t>
      </w:r>
      <w:proofErr w:type="spellEnd"/>
      <w:r w:rsidRPr="00C83E77">
        <w:rPr>
          <w:rFonts w:eastAsia="Times New Roman" w:cs="Calibri"/>
          <w:lang w:eastAsia="pt-BR"/>
        </w:rPr>
        <w:t xml:space="preserve"> NAS: </w:t>
      </w:r>
      <w:r w:rsidRPr="00C83E77">
        <w:t>Processador 1.70Ghz, 15MB cache, 6 núcleos/6 segmentos; Chassi de 3,5" com capacidade de até 24 discos rígidos; 14 Discos 12TB SAS 12Gb/s 7200RPM 3.5; 4 memorias de 16GB DDR4 2400Mhz ECC; 1 placa de rede 10 Gigabit Dual-</w:t>
      </w:r>
      <w:proofErr w:type="spellStart"/>
      <w:r w:rsidRPr="00C83E77">
        <w:t>Port</w:t>
      </w:r>
      <w:proofErr w:type="spellEnd"/>
      <w:r w:rsidRPr="00C83E77">
        <w:t xml:space="preserve"> </w:t>
      </w:r>
      <w:proofErr w:type="spellStart"/>
      <w:r w:rsidRPr="00C83E77">
        <w:t>offboard</w:t>
      </w:r>
      <w:proofErr w:type="spellEnd"/>
      <w:r w:rsidRPr="00C83E77">
        <w:t xml:space="preserve">,  1 Placa porta dupla 10Gb SFP+ </w:t>
      </w:r>
      <w:proofErr w:type="spellStart"/>
      <w:r w:rsidRPr="00C83E77">
        <w:t>offboard</w:t>
      </w:r>
      <w:proofErr w:type="spellEnd"/>
      <w:r w:rsidRPr="00C83E77">
        <w:t xml:space="preserve">, </w:t>
      </w:r>
      <w:r w:rsidRPr="00C83E77">
        <w:rPr>
          <w:b/>
        </w:rPr>
        <w:t xml:space="preserve">incluso </w:t>
      </w:r>
      <w:proofErr w:type="spellStart"/>
      <w:r w:rsidRPr="00C83E77">
        <w:rPr>
          <w:b/>
        </w:rPr>
        <w:t>Gbics</w:t>
      </w:r>
      <w:proofErr w:type="spellEnd"/>
      <w:r w:rsidRPr="00C83E77">
        <w:rPr>
          <w:b/>
        </w:rPr>
        <w:t xml:space="preserve"> compatíveis com as ofertadas no switch ; suporte a RAID 0/1/5/10 compatível com o disco especificado;</w:t>
      </w:r>
    </w:p>
    <w:p w:rsidR="00CC0FD5" w:rsidRPr="00C83E77" w:rsidRDefault="00CC0FD5" w:rsidP="00CC0FD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lang w:eastAsia="pt-BR"/>
        </w:rPr>
      </w:pPr>
      <w:r w:rsidRPr="00C83E77">
        <w:t>Gravador digital de vídeo: Gravador de vídeo em rede (NVD); Entrada para 32 canais IP; 30fps.</w:t>
      </w:r>
    </w:p>
    <w:p w:rsidR="00CC0FD5" w:rsidRPr="00C83E77" w:rsidRDefault="00CC0FD5" w:rsidP="00CC0FD5">
      <w:pPr>
        <w:jc w:val="both"/>
        <w:rPr>
          <w:rFonts w:ascii="Calibri" w:eastAsia="Times New Roman" w:hAnsi="Calibri" w:cs="Calibri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Arial"/>
          <w:b/>
          <w:color w:val="4472C4" w:themeColor="accent1"/>
          <w:lang w:eastAsia="pt-BR"/>
        </w:rPr>
      </w:pPr>
      <w:r w:rsidRPr="00E80E6B">
        <w:rPr>
          <w:rFonts w:eastAsia="Times New Roman" w:cs="Arial"/>
          <w:b/>
          <w:color w:val="4472C4" w:themeColor="accent1"/>
          <w:lang w:eastAsia="pt-BR"/>
        </w:rPr>
        <w:t>OUTROS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>O projeto apresenta deficiências no que tange a segurança das conexões de transmissão e colaboração da solução proposta. Pois em nenhum momento é informado o formato de chamadas criptografadas, utilizando “AES 128-bit” ou “SIP TLS” para dar segurança a solução.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C83E77" w:rsidRDefault="00CC0FD5" w:rsidP="00CC0FD5">
      <w:pPr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C83E77">
        <w:rPr>
          <w:rFonts w:ascii="Calibri" w:eastAsia="Times New Roman" w:hAnsi="Calibri" w:cs="Calibri"/>
          <w:b/>
          <w:color w:val="000000"/>
          <w:lang w:eastAsia="pt-BR"/>
        </w:rPr>
        <w:t xml:space="preserve">SEDUC: A SEDUC entende que as especificações atuais solicitadas no </w:t>
      </w:r>
      <w:r w:rsidR="004A69FD">
        <w:rPr>
          <w:rFonts w:ascii="Calibri" w:eastAsia="Times New Roman" w:hAnsi="Calibri" w:cs="Calibri"/>
          <w:b/>
          <w:color w:val="000000"/>
          <w:lang w:eastAsia="pt-BR"/>
        </w:rPr>
        <w:t>documento base</w:t>
      </w:r>
      <w:r w:rsidRPr="00C83E77">
        <w:rPr>
          <w:rFonts w:ascii="Calibri" w:eastAsia="Times New Roman" w:hAnsi="Calibri" w:cs="Calibri"/>
          <w:b/>
          <w:color w:val="000000"/>
          <w:lang w:eastAsia="pt-BR"/>
        </w:rPr>
        <w:t xml:space="preserve"> são suficientes para atendimento do projeto.</w:t>
      </w:r>
    </w:p>
    <w:p w:rsidR="00CC0FD5" w:rsidRPr="00125584" w:rsidRDefault="00CC0FD5" w:rsidP="00CC0FD5">
      <w:pPr>
        <w:jc w:val="both"/>
        <w:rPr>
          <w:rFonts w:eastAsia="Times New Roman" w:cs="Calibri"/>
          <w:b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CA21E4">
        <w:rPr>
          <w:rFonts w:eastAsia="Times New Roman" w:cs="Calibri"/>
          <w:color w:val="000000"/>
          <w:lang w:eastAsia="pt-BR"/>
        </w:rPr>
        <w:t>O projeto não especifica uma resolução mínima para o conteúdo compartilhado durante as sessões. Recomendamos uma resolução mínima de 1080p bem como o detalhamento de funções para o compartilhamento como escrita, comentários e desenhos complementares.</w:t>
      </w:r>
      <w:r w:rsidRPr="00E80E6B">
        <w:rPr>
          <w:rFonts w:eastAsia="Times New Roman" w:cs="Calibri"/>
          <w:color w:val="000000"/>
          <w:lang w:eastAsia="pt-BR"/>
        </w:rPr>
        <w:t xml:space="preserve">    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C83E77" w:rsidRDefault="00CC0FD5" w:rsidP="00CC0FD5">
      <w:pPr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C83E77">
        <w:rPr>
          <w:rFonts w:ascii="Calibri" w:eastAsia="Times New Roman" w:hAnsi="Calibri" w:cs="Calibri"/>
          <w:b/>
          <w:color w:val="000000"/>
          <w:lang w:eastAsia="pt-BR"/>
        </w:rPr>
        <w:lastRenderedPageBreak/>
        <w:t xml:space="preserve">SEDUC: já respondido em itens anteriores. Será exigida entrega </w:t>
      </w:r>
      <w:proofErr w:type="spellStart"/>
      <w:r w:rsidRPr="00C83E77">
        <w:rPr>
          <w:rFonts w:ascii="Calibri" w:eastAsia="Times New Roman" w:hAnsi="Calibri" w:cs="Calibri"/>
          <w:b/>
          <w:color w:val="000000"/>
          <w:lang w:eastAsia="pt-BR"/>
        </w:rPr>
        <w:t>FullHD</w:t>
      </w:r>
      <w:proofErr w:type="spellEnd"/>
      <w:r w:rsidRPr="00C83E77">
        <w:rPr>
          <w:rFonts w:ascii="Calibri" w:eastAsia="Times New Roman" w:hAnsi="Calibri" w:cs="Calibri"/>
          <w:b/>
          <w:color w:val="000000"/>
          <w:lang w:eastAsia="pt-BR"/>
        </w:rPr>
        <w:t xml:space="preserve"> com previsão de </w:t>
      </w:r>
      <w:proofErr w:type="spellStart"/>
      <w:r w:rsidRPr="00C83E77">
        <w:rPr>
          <w:rFonts w:ascii="Calibri" w:eastAsia="Times New Roman" w:hAnsi="Calibri" w:cs="Calibri"/>
          <w:b/>
          <w:color w:val="000000"/>
          <w:lang w:eastAsia="pt-BR"/>
        </w:rPr>
        <w:t>BitRate</w:t>
      </w:r>
      <w:proofErr w:type="spellEnd"/>
      <w:r w:rsidRPr="00C83E77">
        <w:rPr>
          <w:rFonts w:ascii="Calibri" w:eastAsia="Times New Roman" w:hAnsi="Calibri" w:cs="Calibri"/>
          <w:b/>
          <w:color w:val="000000"/>
          <w:lang w:eastAsia="pt-BR"/>
        </w:rPr>
        <w:t xml:space="preserve"> adaptativo.</w:t>
      </w:r>
    </w:p>
    <w:p w:rsidR="00CC0FD5" w:rsidRDefault="00CC0FD5" w:rsidP="00CC0FD5">
      <w:pPr>
        <w:jc w:val="both"/>
        <w:rPr>
          <w:rFonts w:ascii="Calibri" w:eastAsia="Times New Roman" w:hAnsi="Calibri" w:cs="Calibri"/>
          <w:b/>
          <w:bCs/>
          <w:color w:val="FF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>O projeto não contempla funções especificas dos apresentadores, como a possibilidade de colocar em mudo os participantes, transferir a apresentação para outros, permitir que um participante compartilhe conteúdo ou desenho/comente no conteúdo apresentado.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SEDUC: </w:t>
      </w:r>
      <w:r w:rsidRPr="00E80E6B">
        <w:rPr>
          <w:rFonts w:eastAsia="Times New Roman" w:cs="Calibri"/>
          <w:b/>
          <w:bCs/>
          <w:lang w:eastAsia="pt-BR"/>
        </w:rPr>
        <w:t>Será</w:t>
      </w: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 incorporado no Edital.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Relacionado a parte da administração da solução, não identificamos o acesso administrativo através de conteúdo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HTTPs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. Para aqueles que irão agendar e operar as transmissões e colaboração da solução proposta.    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SEDUC: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Edital irá prever acesso administrativo através de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pt-BR"/>
        </w:rPr>
        <w:t>HTTPs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pt-BR"/>
        </w:rPr>
        <w:t>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Em nenhum momento o projeto especifica proteção contra roubo ou furto das TVs mencionadas. Recomendamos o uso de um equipamento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all</w:t>
      </w:r>
      <w:proofErr w:type="spellEnd"/>
      <w:r w:rsidRPr="00E80E6B">
        <w:rPr>
          <w:rFonts w:eastAsia="Times New Roman" w:cs="Calibri"/>
          <w:color w:val="000000"/>
          <w:lang w:eastAsia="pt-BR"/>
        </w:rPr>
        <w:t>-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in-one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que permita realizar as transmissões e colaboração solicitadas, porém, que dificulte qualquer tipo de comercio paralelo e remoção do dispositivo de determinado ambiente instalado. 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SEDUC: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 utilização de uma plataforma de hardware tipo “comodities” tendem a baratear o projeto e ainda minimizam tempo de substituição e reposição de equipamentos. Apesar do projeto ser pensado para modelagem de negócios com aluguel de equipamentos (excluindo Tvs de sala de aula e estabilizadores), o Edital irá prever prazos máximos para substituição de equipamentos, visando manter o nível de atendimento dos pontos atendidos pelo projeto. Além disto, sob a ótica da economicidade e perenidade, faz mais sentido demandar equipamentos “de prateleira” do que equipamentos </w:t>
      </w:r>
      <w:proofErr w:type="spellStart"/>
      <w:r w:rsidRPr="009D7BEC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tailormade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pt-BR"/>
        </w:rPr>
        <w:t>. Por fim, conforme elucidado anteriormente, os licitantes poderão oferecer equipamentos similares ou superiores aos constantes no Edital.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Página 29 Item 7 diz: “Simultaneidade de acesso à solução de transmissão e colaboração Capacidade total: </w:t>
      </w:r>
      <w:proofErr w:type="gramStart"/>
      <w:r w:rsidRPr="00E80E6B">
        <w:rPr>
          <w:rFonts w:eastAsia="Times New Roman" w:cs="Calibri"/>
          <w:color w:val="000000"/>
          <w:lang w:eastAsia="pt-BR"/>
        </w:rPr>
        <w:t>7.253  •</w:t>
      </w:r>
      <w:proofErr w:type="gramEnd"/>
      <w:r w:rsidRPr="00E80E6B">
        <w:rPr>
          <w:rFonts w:eastAsia="Times New Roman" w:cs="Calibri"/>
          <w:color w:val="000000"/>
          <w:lang w:eastAsia="pt-BR"/>
        </w:rPr>
        <w:t xml:space="preserve"> Uso simultâneo inicial: 3.000  • Lotes de incremento: 500”.  Entendemos que a solução deve ter capacidade de suportar 3000 sessões simultaneamente, ou seja, 3000 salas virtuais contendo dois ou mais participantes em cada uma delas. Nosso entendimento está correto.  Entendemos também que a solução deve permitir a divisão dos participantes de uma sessão em diferentes salas afim de permitir a criação de grupos de trabalho, como características idênticas a sessão original, podendo ser reunidas novamente na sessão original.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1B7863" w:rsidRDefault="00CC0FD5" w:rsidP="00CC0FD5">
      <w:pPr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63302E">
        <w:rPr>
          <w:rFonts w:eastAsia="Times New Roman" w:cs="Calibri"/>
          <w:b/>
          <w:bCs/>
          <w:color w:val="000000"/>
          <w:lang w:eastAsia="pt-BR"/>
        </w:rPr>
        <w:t xml:space="preserve">SEDUC: </w:t>
      </w:r>
      <w:r w:rsidRPr="0063302E">
        <w:rPr>
          <w:rFonts w:ascii="Calibri" w:eastAsia="Times New Roman" w:hAnsi="Calibri" w:cs="Calibri"/>
          <w:b/>
          <w:bCs/>
          <w:color w:val="000000"/>
          <w:lang w:eastAsia="pt-BR"/>
        </w:rPr>
        <w:t>O</w:t>
      </w:r>
      <w:r w:rsidRPr="001B7863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comentário acima está em desacordo com o vislumbrado pelo projeto. Esclarecendo, a topologia descrita no Edital irá prever, inicialmente, 7.253 </w:t>
      </w:r>
      <w:proofErr w:type="spellStart"/>
      <w:r w:rsidRPr="001B7863">
        <w:rPr>
          <w:rFonts w:ascii="Calibri" w:eastAsia="Times New Roman" w:hAnsi="Calibri" w:cs="Calibri"/>
          <w:b/>
          <w:bCs/>
          <w:i/>
          <w:iCs/>
          <w:color w:val="000000"/>
          <w:lang w:eastAsia="pt-BR"/>
        </w:rPr>
        <w:t>clients</w:t>
      </w:r>
      <w:proofErr w:type="spellEnd"/>
      <w:r w:rsidRPr="001B7863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e a mesma quantidade para servidor.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br w:type="page"/>
      </w: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sz w:val="28"/>
          <w:szCs w:val="28"/>
          <w:lang w:eastAsia="pt-BR"/>
        </w:rPr>
      </w:pPr>
      <w:r w:rsidRPr="00E80E6B">
        <w:rPr>
          <w:rFonts w:eastAsia="Times New Roman" w:cs="Calibri"/>
          <w:b/>
          <w:color w:val="000000"/>
          <w:sz w:val="28"/>
          <w:szCs w:val="28"/>
          <w:lang w:eastAsia="pt-BR"/>
        </w:rPr>
        <w:t>Dados de Identificação:</w:t>
      </w: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sz w:val="28"/>
          <w:szCs w:val="28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sz w:val="28"/>
          <w:szCs w:val="28"/>
          <w:lang w:eastAsia="pt-BR"/>
        </w:rPr>
      </w:pPr>
      <w:r w:rsidRPr="00E80E6B">
        <w:rPr>
          <w:rFonts w:eastAsia="Times New Roman" w:cs="Calibri"/>
          <w:b/>
          <w:color w:val="000000"/>
          <w:sz w:val="28"/>
          <w:szCs w:val="28"/>
          <w:lang w:eastAsia="pt-BR"/>
        </w:rPr>
        <w:t xml:space="preserve">Nome: </w:t>
      </w:r>
      <w:proofErr w:type="spellStart"/>
      <w:r w:rsidRPr="00E80E6B">
        <w:rPr>
          <w:rFonts w:eastAsia="Times New Roman" w:cs="Calibri"/>
          <w:b/>
          <w:color w:val="000000"/>
          <w:sz w:val="28"/>
          <w:szCs w:val="28"/>
          <w:lang w:eastAsia="pt-BR"/>
        </w:rPr>
        <w:t>Tonny</w:t>
      </w:r>
      <w:proofErr w:type="spellEnd"/>
      <w:r w:rsidRPr="00E80E6B">
        <w:rPr>
          <w:rFonts w:eastAsia="Times New Roman" w:cs="Calibri"/>
          <w:b/>
          <w:color w:val="000000"/>
          <w:sz w:val="28"/>
          <w:szCs w:val="28"/>
          <w:lang w:eastAsia="pt-BR"/>
        </w:rPr>
        <w:t xml:space="preserve"> </w:t>
      </w:r>
      <w:proofErr w:type="spellStart"/>
      <w:r w:rsidRPr="00E80E6B">
        <w:rPr>
          <w:rFonts w:eastAsia="Times New Roman" w:cs="Calibri"/>
          <w:b/>
          <w:color w:val="000000"/>
          <w:sz w:val="28"/>
          <w:szCs w:val="28"/>
          <w:lang w:eastAsia="pt-BR"/>
        </w:rPr>
        <w:t>Hitotuzi</w:t>
      </w:r>
      <w:proofErr w:type="spellEnd"/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sz w:val="28"/>
          <w:szCs w:val="28"/>
          <w:lang w:eastAsia="pt-BR"/>
        </w:rPr>
      </w:pPr>
      <w:r w:rsidRPr="00E80E6B">
        <w:rPr>
          <w:rFonts w:eastAsia="Times New Roman" w:cs="Calibri"/>
          <w:b/>
          <w:color w:val="000000"/>
          <w:sz w:val="28"/>
          <w:szCs w:val="28"/>
          <w:lang w:eastAsia="pt-BR"/>
        </w:rPr>
        <w:t>Empresa: VAT TECNOLOGIA DA INFORMAÇÃO</w:t>
      </w:r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sz w:val="28"/>
          <w:szCs w:val="28"/>
          <w:lang w:eastAsia="pt-BR"/>
        </w:rPr>
      </w:pPr>
      <w:r w:rsidRPr="00E80E6B">
        <w:rPr>
          <w:rFonts w:eastAsia="Times New Roman" w:cs="Calibri"/>
          <w:b/>
          <w:color w:val="000000"/>
          <w:sz w:val="28"/>
          <w:szCs w:val="28"/>
          <w:lang w:eastAsia="pt-BR"/>
        </w:rPr>
        <w:t xml:space="preserve">E-mail: </w:t>
      </w:r>
      <w:hyperlink r:id="rId9" w:history="1">
        <w:r w:rsidRPr="00E80E6B">
          <w:rPr>
            <w:rStyle w:val="Hyperlink"/>
            <w:rFonts w:eastAsia="Times New Roman" w:cs="Calibri"/>
            <w:b/>
            <w:sz w:val="28"/>
            <w:szCs w:val="28"/>
            <w:lang w:eastAsia="pt-BR"/>
          </w:rPr>
          <w:t>comercial@vat.com.br</w:t>
        </w:r>
      </w:hyperlink>
    </w:p>
    <w:p w:rsidR="00CC0FD5" w:rsidRPr="00E80E6B" w:rsidRDefault="00CC0FD5" w:rsidP="00CC0FD5">
      <w:pPr>
        <w:jc w:val="both"/>
        <w:rPr>
          <w:rFonts w:eastAsia="Times New Roman" w:cs="Calibri"/>
          <w:b/>
          <w:color w:val="000000"/>
          <w:sz w:val="28"/>
          <w:szCs w:val="28"/>
          <w:lang w:eastAsia="pt-BR"/>
        </w:rPr>
      </w:pPr>
      <w:r w:rsidRPr="00E80E6B">
        <w:rPr>
          <w:rFonts w:eastAsia="Times New Roman" w:cs="Calibri"/>
          <w:b/>
          <w:color w:val="000000"/>
          <w:sz w:val="28"/>
          <w:szCs w:val="28"/>
          <w:lang w:eastAsia="pt-BR"/>
        </w:rPr>
        <w:t>Data: 08/07/2019 às 14h30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color w:val="4472C4" w:themeColor="accent1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Arial"/>
          <w:b/>
          <w:color w:val="4472C4" w:themeColor="accent1"/>
          <w:lang w:eastAsia="pt-BR"/>
        </w:rPr>
      </w:pPr>
      <w:r w:rsidRPr="00E80E6B">
        <w:rPr>
          <w:rFonts w:eastAsia="Times New Roman" w:cs="Arial"/>
          <w:b/>
          <w:color w:val="4472C4" w:themeColor="accent1"/>
          <w:lang w:eastAsia="pt-BR"/>
        </w:rPr>
        <w:t>ITEM 6.1.1. Especificação técnica da solução de transmissão e colaboração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1- "Garantia de banda de até 2Mbps por ambiente."  A garantia será exclusivamente para o serviço proposto ou poderá ser compartilhada com outros serviços?  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SEDUC: Sim, com </w:t>
      </w:r>
      <w:proofErr w:type="spellStart"/>
      <w:r w:rsidRPr="00E80E6B">
        <w:rPr>
          <w:rFonts w:eastAsia="Times New Roman" w:cs="Calibri"/>
          <w:b/>
          <w:bCs/>
          <w:color w:val="000000"/>
          <w:lang w:eastAsia="pt-BR"/>
        </w:rPr>
        <w:t>QoS</w:t>
      </w:r>
      <w:proofErr w:type="spellEnd"/>
      <w:r w:rsidRPr="00E80E6B">
        <w:rPr>
          <w:rFonts w:eastAsia="Times New Roman" w:cs="Calibri"/>
          <w:b/>
          <w:bCs/>
          <w:color w:val="000000"/>
          <w:lang w:eastAsia="pt-BR"/>
        </w:rPr>
        <w:t xml:space="preserve"> controlado.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2- "Suportar nativamente transmissões das sessões de conferência para sistemas operacionais Windows, Android e iOS".   2.1) Entendemos que o fornecedor deverá disponibilizar clientes nativos para sistemas operacionais Windows, Android e iOS. Está correto o entendimento?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SEDUC: Sim. Incorporar </w:t>
      </w:r>
      <w:proofErr w:type="spellStart"/>
      <w:r w:rsidRPr="00E80E6B">
        <w:rPr>
          <w:rFonts w:eastAsia="Times New Roman" w:cs="Calibri"/>
          <w:b/>
          <w:bCs/>
          <w:color w:val="000000"/>
          <w:lang w:eastAsia="pt-BR"/>
        </w:rPr>
        <w:t>MacOS</w:t>
      </w:r>
      <w:proofErr w:type="spellEnd"/>
      <w:r w:rsidRPr="00E80E6B">
        <w:rPr>
          <w:rFonts w:eastAsia="Times New Roman" w:cs="Calibri"/>
          <w:b/>
          <w:bCs/>
          <w:color w:val="000000"/>
          <w:lang w:eastAsia="pt-BR"/>
        </w:rPr>
        <w:t xml:space="preserve"> para computadores Apple. Além disto, incorporar os apps I</w:t>
      </w:r>
      <w:r>
        <w:rPr>
          <w:rFonts w:eastAsia="Times New Roman" w:cs="Calibri"/>
          <w:b/>
          <w:bCs/>
          <w:color w:val="000000"/>
          <w:lang w:eastAsia="pt-BR"/>
        </w:rPr>
        <w:t>OS</w:t>
      </w: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 e </w:t>
      </w:r>
      <w:proofErr w:type="spellStart"/>
      <w:r w:rsidRPr="00E80E6B">
        <w:rPr>
          <w:rFonts w:eastAsia="Times New Roman" w:cs="Calibri"/>
          <w:b/>
          <w:bCs/>
          <w:color w:val="000000"/>
          <w:lang w:eastAsia="pt-BR"/>
        </w:rPr>
        <w:t>android</w:t>
      </w:r>
      <w:proofErr w:type="spellEnd"/>
      <w:r w:rsidRPr="00E80E6B">
        <w:rPr>
          <w:rFonts w:eastAsia="Times New Roman" w:cs="Calibri"/>
          <w:b/>
          <w:bCs/>
          <w:color w:val="000000"/>
          <w:lang w:eastAsia="pt-BR"/>
        </w:rPr>
        <w:t xml:space="preserve">, com um </w:t>
      </w:r>
      <w:proofErr w:type="spellStart"/>
      <w:r w:rsidRPr="00E80E6B">
        <w:rPr>
          <w:rFonts w:eastAsia="Times New Roman" w:cs="Calibri"/>
          <w:b/>
          <w:bCs/>
          <w:color w:val="000000"/>
          <w:lang w:eastAsia="pt-BR"/>
        </w:rPr>
        <w:t>sdk</w:t>
      </w:r>
      <w:proofErr w:type="spellEnd"/>
      <w:r w:rsidRPr="00E80E6B">
        <w:rPr>
          <w:rFonts w:eastAsia="Times New Roman" w:cs="Calibri"/>
          <w:b/>
          <w:bCs/>
          <w:color w:val="000000"/>
          <w:lang w:eastAsia="pt-BR"/>
        </w:rPr>
        <w:t xml:space="preserve"> para cada.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2.2) No caso dos dispositivos móveis (clientes iOS e Android), os acessos serão feitos sempre pelo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wifi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da rede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Intragov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ou haverá acesso por rede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publica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3G/4G?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>SEDUC: Terá acesso pela rede pública.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2.3) Em caso de permissão de acesso por rede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publica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3G/4G, quem deverá prover o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backbone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pra este fim?     Sugestões:  1 - O fornecedor poderia disponibilizar o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backbone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sobre forma de SaaS integrado ao serviço "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On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Premises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" proposto no Documento base. Neste caso, o Governador, um Secretário de Estado, ou ainda um palestrante especialista, poderiam acompanhar e interagir com todos os Ambientes de Aprendizagem sem a necessidade de estar presentes em alguma dependência da rede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Intragov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.  2- O aplicativo para dispositivos móveis poderia abranger todos os professores e diretores </w:t>
      </w:r>
      <w:proofErr w:type="gramStart"/>
      <w:r w:rsidRPr="00E80E6B">
        <w:rPr>
          <w:rFonts w:eastAsia="Times New Roman" w:cs="Calibri"/>
          <w:color w:val="000000"/>
          <w:lang w:eastAsia="pt-BR"/>
        </w:rPr>
        <w:t>do rede estadual</w:t>
      </w:r>
      <w:proofErr w:type="gramEnd"/>
      <w:r w:rsidRPr="00E80E6B">
        <w:rPr>
          <w:rFonts w:eastAsia="Times New Roman" w:cs="Calibri"/>
          <w:color w:val="000000"/>
          <w:lang w:eastAsia="pt-BR"/>
        </w:rPr>
        <w:t xml:space="preserve"> de ensino, criando uma verdadeira rede social entre os profissionais da Educação. Neste caso, por exemplo, o Secretário de Educação poderia interagir por áudio/videoconferência e troca de mensagens com todos os participantes da rede.     3 - "Permitir acesso às transmissões via navegador web</w:t>
      </w:r>
      <w:proofErr w:type="gramStart"/>
      <w:r w:rsidRPr="00E80E6B">
        <w:rPr>
          <w:rFonts w:eastAsia="Times New Roman" w:cs="Calibri"/>
          <w:color w:val="000000"/>
          <w:lang w:eastAsia="pt-BR"/>
        </w:rPr>
        <w:t>"  3.1</w:t>
      </w:r>
      <w:proofErr w:type="gramEnd"/>
      <w:r w:rsidRPr="00E80E6B">
        <w:rPr>
          <w:rFonts w:eastAsia="Times New Roman" w:cs="Calibri"/>
          <w:color w:val="000000"/>
          <w:lang w:eastAsia="pt-BR"/>
        </w:rPr>
        <w:t>) Entendemos que a solução web deverá disponibilizar os mesmos recursos dos clientes nativos Windows, Android e iOS. Está correto?  3.2) Será possível que usuários das salas de aula e demais dependências do governo de SP, conectados nos servidores internos, interajam com usuários externos (na internet)?  3.3</w:t>
      </w:r>
      <w:proofErr w:type="gramStart"/>
      <w:r w:rsidRPr="00E80E6B">
        <w:rPr>
          <w:rFonts w:eastAsia="Times New Roman" w:cs="Calibri"/>
          <w:color w:val="000000"/>
          <w:lang w:eastAsia="pt-BR"/>
        </w:rPr>
        <w:t>)  Será</w:t>
      </w:r>
      <w:proofErr w:type="gramEnd"/>
      <w:r w:rsidRPr="00E80E6B">
        <w:rPr>
          <w:rFonts w:eastAsia="Times New Roman" w:cs="Calibri"/>
          <w:color w:val="000000"/>
          <w:lang w:eastAsia="pt-BR"/>
        </w:rPr>
        <w:t xml:space="preserve"> permitido pelas políticas de segurança da </w:t>
      </w:r>
      <w:r w:rsidRPr="00E80E6B">
        <w:rPr>
          <w:rFonts w:eastAsia="Times New Roman" w:cs="Calibri"/>
          <w:color w:val="000000"/>
          <w:lang w:eastAsia="pt-BR"/>
        </w:rPr>
        <w:lastRenderedPageBreak/>
        <w:t xml:space="preserve">informação de TI do governo e/ou da PRODESP, que usuários externos (na internet) se conectem nos servidores internos para interação? Lembrando que isso também implica na abertura de muitas portas TCP e UDP entre o datacenter onde os servidores estiverem hospedados para a internet, sem a possibilidade de especificar a origem/destino de tráfego externo, já que os alunos e outros, estariam usando suas próprias e variadas redes de comunicação.  Sugestão:  O fornecedor poderia disponibilizar o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backbone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sobre forma de SaaS integrado ao serviço "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On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Premises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" proposto no Documento base.    4- "Permitir a integração com serviços de diretórios baseados em LDAP". Em caso da possibilidade de interação entre usuários da rede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Intragov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com usuários externos, o fornecedor poderá disponibilizar sua solução de forma genérica utilizada por vários clientes deveria disponibilizar uma solução padrão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white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label</w:t>
      </w:r>
      <w:proofErr w:type="spellEnd"/>
      <w:r w:rsidRPr="00E80E6B">
        <w:rPr>
          <w:rFonts w:eastAsia="Times New Roman" w:cs="Calibri"/>
          <w:color w:val="000000"/>
          <w:lang w:eastAsia="pt-BR"/>
        </w:rPr>
        <w:t>?  Sugestão:  Solução exclusiva com possibilidade de aplicação da marca do contratante e disponibilização dos aplicativos móveis específicos nas lojas Google e Apple.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63302E">
        <w:rPr>
          <w:rFonts w:eastAsia="Times New Roman" w:cs="Calibri"/>
          <w:b/>
          <w:bCs/>
          <w:color w:val="000000"/>
          <w:lang w:eastAsia="pt-BR"/>
        </w:rPr>
        <w:t xml:space="preserve">SEDUC: </w:t>
      </w:r>
      <w:r w:rsidRPr="0063302E">
        <w:rPr>
          <w:rFonts w:ascii="Calibri" w:eastAsia="Times New Roman" w:hAnsi="Calibri" w:cs="Calibri"/>
          <w:b/>
          <w:bCs/>
          <w:color w:val="000000"/>
          <w:lang w:eastAsia="pt-BR"/>
        </w:rPr>
        <w:t>O E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dital irá prever fornecimento de solução de APP com SDK específico e configuração White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pt-BR"/>
        </w:rPr>
        <w:t>lable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pt-BR"/>
        </w:rPr>
        <w:t>. Este deverá observar todas as marcas, logos e cores fornecidas pela área de comunicação da SE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DUC. </w:t>
      </w:r>
      <w:r w:rsidRPr="00A40213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O fornecedor poderia disponibilizar o </w:t>
      </w:r>
      <w:proofErr w:type="spellStart"/>
      <w:r w:rsidRPr="00A40213">
        <w:rPr>
          <w:rFonts w:ascii="Calibri" w:eastAsia="Times New Roman" w:hAnsi="Calibri" w:cs="Calibri"/>
          <w:b/>
          <w:bCs/>
          <w:color w:val="000000"/>
          <w:lang w:eastAsia="pt-BR"/>
        </w:rPr>
        <w:t>backbone</w:t>
      </w:r>
      <w:proofErr w:type="spellEnd"/>
      <w:r w:rsidRPr="00A40213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sobre forma de SaaS integrado ao serviço "</w:t>
      </w:r>
      <w:proofErr w:type="spellStart"/>
      <w:r w:rsidRPr="00A40213">
        <w:rPr>
          <w:rFonts w:ascii="Calibri" w:eastAsia="Times New Roman" w:hAnsi="Calibri" w:cs="Calibri"/>
          <w:b/>
          <w:bCs/>
          <w:color w:val="000000"/>
          <w:lang w:eastAsia="pt-BR"/>
        </w:rPr>
        <w:t>On</w:t>
      </w:r>
      <w:proofErr w:type="spellEnd"/>
      <w:r w:rsidRPr="00A40213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Premisses" proposto no Documento base.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373AF8" w:rsidRDefault="00CC0FD5" w:rsidP="00CC0FD5">
      <w:pPr>
        <w:jc w:val="both"/>
        <w:rPr>
          <w:rFonts w:eastAsia="Times New Roman" w:cs="Arial"/>
          <w:b/>
          <w:color w:val="4472C4" w:themeColor="accent1"/>
          <w:lang w:eastAsia="pt-BR"/>
        </w:rPr>
      </w:pPr>
      <w:r w:rsidRPr="00373AF8">
        <w:rPr>
          <w:rFonts w:eastAsia="Times New Roman" w:cs="Arial"/>
          <w:b/>
          <w:color w:val="4472C4" w:themeColor="accent1"/>
          <w:lang w:eastAsia="pt-BR"/>
        </w:rPr>
        <w:t>ITEM 6.2.6. Recursos para gravação/transmissão em ambientes/eventos externos</w:t>
      </w:r>
    </w:p>
    <w:p w:rsidR="00CC0FD5" w:rsidRPr="00373AF8" w:rsidRDefault="00CC0FD5" w:rsidP="00CC0FD5">
      <w:pPr>
        <w:jc w:val="both"/>
        <w:rPr>
          <w:rFonts w:eastAsia="Times New Roman" w:cs="Calibri"/>
          <w:b/>
          <w:color w:val="4472C4" w:themeColor="accent1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1) Nos eventos externos, o fornecedor deverá prover a conectividade local para transmissão?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SEDUC: Não. Ou será rede existente na localidade, ou serviço específico contratado pela SEDUC (3G, 4G, </w:t>
      </w:r>
      <w:proofErr w:type="spellStart"/>
      <w:r w:rsidRPr="00E80E6B">
        <w:rPr>
          <w:rFonts w:eastAsia="Times New Roman" w:cs="Calibri"/>
          <w:b/>
          <w:bCs/>
          <w:color w:val="000000"/>
          <w:lang w:eastAsia="pt-BR"/>
        </w:rPr>
        <w:t>Vsat</w:t>
      </w:r>
      <w:proofErr w:type="spellEnd"/>
      <w:r w:rsidRPr="00E80E6B">
        <w:rPr>
          <w:rFonts w:eastAsia="Times New Roman" w:cs="Calibri"/>
          <w:b/>
          <w:bCs/>
          <w:color w:val="000000"/>
          <w:lang w:eastAsia="pt-BR"/>
        </w:rPr>
        <w:t>, ...).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  2) Haverá um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backbone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 para integrar a transmissão de eventos externos à rede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Intragov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? Em caso positivo, qual o dimensionamento?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SEDUC: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 Rede deverá realizar e entrega dos conteúdos nos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pt-BR"/>
        </w:rPr>
        <w:t>codecs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e qualidades anteriormente especificadas, independentemente do dimensionamento de banda, observado o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eastAsia="pt-BR"/>
        </w:rPr>
        <w:t>bitrate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adaptativo para links não dedicados/controle SLA.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373AF8" w:rsidRDefault="00CC0FD5" w:rsidP="00CC0FD5">
      <w:pPr>
        <w:jc w:val="both"/>
        <w:rPr>
          <w:rFonts w:eastAsia="Times New Roman" w:cs="Arial"/>
          <w:b/>
          <w:color w:val="333333"/>
          <w:lang w:eastAsia="pt-BR"/>
        </w:rPr>
      </w:pPr>
      <w:r w:rsidRPr="00373AF8">
        <w:rPr>
          <w:rFonts w:eastAsia="Times New Roman" w:cs="Arial"/>
          <w:b/>
          <w:color w:val="4472C4" w:themeColor="accent1"/>
          <w:lang w:eastAsia="pt-BR"/>
        </w:rPr>
        <w:t>ITEM 6.5. Operação da edição/formatação de conteúdo multimídia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"1.4.5. Sistematizar roteiro de vídeos e videoaulas (responsabilidade EFAPE)".     Observação:  Em relação aos roteiros, nota-se que o fornecedor apenas fará revisão ortográfica.  Sugestão:  O fornecedor deveria alocar também roteirista para adaptação da linguagem pedagógica para a Televisiva.  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SEDUC: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>Esta é uma decisão discricionária da SEDUC. Entende-se que esta customização já pode ser feita pela Secretaria, através de seu time de colaboradores efetivos e colaboradores contratados.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373AF8" w:rsidRDefault="00CC0FD5" w:rsidP="00CC0FD5">
      <w:pPr>
        <w:jc w:val="both"/>
        <w:rPr>
          <w:rFonts w:eastAsia="Times New Roman" w:cs="Arial"/>
          <w:b/>
          <w:color w:val="333333"/>
          <w:lang w:eastAsia="pt-BR"/>
        </w:rPr>
      </w:pPr>
      <w:r w:rsidRPr="00373AF8">
        <w:rPr>
          <w:rFonts w:eastAsia="Times New Roman" w:cs="Arial"/>
          <w:b/>
          <w:color w:val="4472C4" w:themeColor="accent1"/>
          <w:lang w:eastAsia="pt-BR"/>
        </w:rPr>
        <w:t>ITEM 7. DIMENSIONAMENTO DAS SOLUÇÕES, DOS AMBIENTES E DA OPERAÇÃO CONTÍNUA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lastRenderedPageBreak/>
        <w:t>"Simultaneidade de acesso à solução de transmissão e colaboração</w:t>
      </w:r>
      <w:proofErr w:type="gramStart"/>
      <w:r w:rsidRPr="00E80E6B">
        <w:rPr>
          <w:rFonts w:eastAsia="Times New Roman" w:cs="Calibri"/>
          <w:color w:val="000000"/>
          <w:lang w:eastAsia="pt-BR"/>
        </w:rPr>
        <w:t>"  Em</w:t>
      </w:r>
      <w:proofErr w:type="gramEnd"/>
      <w:r w:rsidRPr="00E80E6B">
        <w:rPr>
          <w:rFonts w:eastAsia="Times New Roman" w:cs="Calibri"/>
          <w:color w:val="000000"/>
          <w:lang w:eastAsia="pt-BR"/>
        </w:rPr>
        <w:t xml:space="preserve"> caso de ser possível acessos externos à rede </w:t>
      </w:r>
      <w:proofErr w:type="spellStart"/>
      <w:r w:rsidRPr="00E80E6B">
        <w:rPr>
          <w:rFonts w:eastAsia="Times New Roman" w:cs="Calibri"/>
          <w:color w:val="000000"/>
          <w:lang w:eastAsia="pt-BR"/>
        </w:rPr>
        <w:t>Intragov</w:t>
      </w:r>
      <w:proofErr w:type="spellEnd"/>
      <w:r w:rsidRPr="00E80E6B">
        <w:rPr>
          <w:rFonts w:eastAsia="Times New Roman" w:cs="Calibri"/>
          <w:color w:val="000000"/>
          <w:lang w:eastAsia="pt-BR"/>
        </w:rPr>
        <w:t xml:space="preserve">, entendemos que a simultaneidade se aplicaria ao somatório de usuários interno e externos. Está correto o entendimento?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SEDUC: </w:t>
      </w:r>
      <w:r w:rsidRPr="00373AF8">
        <w:rPr>
          <w:rFonts w:eastAsia="Times New Roman" w:cs="Calibri"/>
          <w:b/>
          <w:bCs/>
          <w:lang w:eastAsia="pt-BR"/>
        </w:rPr>
        <w:t>Sim, está correto.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373AF8" w:rsidRDefault="00CC0FD5" w:rsidP="00CC0FD5">
      <w:pPr>
        <w:jc w:val="both"/>
        <w:rPr>
          <w:rFonts w:eastAsia="Times New Roman" w:cs="Arial"/>
          <w:b/>
          <w:color w:val="4472C4" w:themeColor="accent1"/>
          <w:lang w:eastAsia="pt-BR"/>
        </w:rPr>
      </w:pPr>
      <w:r w:rsidRPr="00373AF8">
        <w:rPr>
          <w:rFonts w:eastAsia="Times New Roman" w:cs="Arial"/>
          <w:b/>
          <w:color w:val="4472C4" w:themeColor="accent1"/>
          <w:lang w:eastAsia="pt-BR"/>
        </w:rPr>
        <w:t>ITEM 9. CRONOGRAMA DE EXECUÇÃO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"FORNECIMENTO DE EQUIPAMENTOS – LOCAÇÃO"    1 </w:t>
      </w:r>
      <w:proofErr w:type="gramStart"/>
      <w:r w:rsidRPr="00E80E6B">
        <w:rPr>
          <w:rFonts w:eastAsia="Times New Roman" w:cs="Calibri"/>
          <w:color w:val="000000"/>
          <w:lang w:eastAsia="pt-BR"/>
        </w:rPr>
        <w:t>-  "</w:t>
      </w:r>
      <w:proofErr w:type="gramEnd"/>
      <w:r w:rsidRPr="00E80E6B">
        <w:rPr>
          <w:rFonts w:eastAsia="Times New Roman" w:cs="Calibri"/>
          <w:color w:val="000000"/>
          <w:lang w:eastAsia="pt-BR"/>
        </w:rPr>
        <w:t xml:space="preserve">Para os estúdios de gravação/transmissão".  Sugestão:  Aumentar o prazo para implantação dos primeiros estúdios em no mínimo 30 dias por requerer insumos importados não necessariamente disponíveis para pronta entrega no mercado brasileiro. 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SEDUC: </w:t>
      </w:r>
      <w:r w:rsidRPr="00373AF8">
        <w:rPr>
          <w:rFonts w:eastAsia="Times New Roman" w:cs="Calibri"/>
          <w:b/>
          <w:bCs/>
          <w:lang w:eastAsia="pt-BR"/>
        </w:rPr>
        <w:t>Será alterado no Edital.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 xml:space="preserve">2 - "Para as Unidades Escolares (tipo 2)".  Sugestões:   2.1) Liberar ordens de serviços para os lotes mensais mediante a confirmação de que as respectivas localidades já tenham recebido os equipamentos de responsabilidade da contratante (armários, TVs e estabilizadores).  2.2) Aumentar o prazo para implantação de cada lote em no mínimo 30 dias em função dos quantitativos elevados.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b/>
          <w:bCs/>
          <w:color w:val="000000"/>
          <w:lang w:eastAsia="pt-BR"/>
        </w:rPr>
      </w:pP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SEDUC: </w:t>
      </w:r>
      <w:r w:rsidRPr="00373AF8">
        <w:rPr>
          <w:rFonts w:eastAsia="Times New Roman" w:cs="Calibri"/>
          <w:b/>
          <w:bCs/>
          <w:lang w:eastAsia="pt-BR"/>
        </w:rPr>
        <w:t>Será alterado no Edital.</w:t>
      </w:r>
    </w:p>
    <w:p w:rsidR="00CC0FD5" w:rsidRPr="00937857" w:rsidRDefault="00CC0FD5" w:rsidP="00CC0FD5">
      <w:pPr>
        <w:jc w:val="both"/>
        <w:rPr>
          <w:rFonts w:eastAsia="Times New Roman" w:cs="Calibri"/>
          <w:b/>
          <w:color w:val="4472C4" w:themeColor="accent1"/>
          <w:lang w:eastAsia="pt-BR"/>
        </w:rPr>
      </w:pPr>
    </w:p>
    <w:p w:rsidR="00CC0FD5" w:rsidRPr="00937857" w:rsidRDefault="00CC0FD5" w:rsidP="00CC0FD5">
      <w:pPr>
        <w:jc w:val="both"/>
        <w:rPr>
          <w:rFonts w:eastAsia="Times New Roman" w:cs="Arial"/>
          <w:b/>
          <w:color w:val="4472C4" w:themeColor="accent1"/>
          <w:lang w:eastAsia="pt-BR"/>
        </w:rPr>
      </w:pPr>
      <w:r w:rsidRPr="00937857">
        <w:rPr>
          <w:rFonts w:eastAsia="Times New Roman" w:cs="Arial"/>
          <w:b/>
          <w:color w:val="4472C4" w:themeColor="accent1"/>
          <w:lang w:eastAsia="pt-BR"/>
        </w:rPr>
        <w:t>ITEM 10. CARACTERIZAÇÃO DOS CUSTOS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  <w:r w:rsidRPr="00E80E6B">
        <w:rPr>
          <w:rFonts w:eastAsia="Times New Roman" w:cs="Calibri"/>
          <w:color w:val="000000"/>
          <w:lang w:eastAsia="pt-BR"/>
        </w:rPr>
        <w:t>"Para os Ambientes de Aprendizagem Solução - uso simultâneo</w:t>
      </w:r>
      <w:proofErr w:type="gramStart"/>
      <w:r w:rsidRPr="00E80E6B">
        <w:rPr>
          <w:rFonts w:eastAsia="Times New Roman" w:cs="Calibri"/>
          <w:color w:val="000000"/>
          <w:lang w:eastAsia="pt-BR"/>
        </w:rPr>
        <w:t>"  "</w:t>
      </w:r>
      <w:proofErr w:type="gramEnd"/>
      <w:r w:rsidRPr="00E80E6B">
        <w:rPr>
          <w:rFonts w:eastAsia="Times New Roman" w:cs="Calibri"/>
          <w:color w:val="000000"/>
          <w:lang w:eastAsia="pt-BR"/>
        </w:rPr>
        <w:t>Para as Unidades Escolares Solução - uso simultâneo"    1 - O quantitativo aponta para uso simultâneo total de 7.253. O item 10 cita uso simultâneo inicial de 3.000 e o cronograma fixa em 3.000 até o mês 24.  1.1) Deve-se cotar a solução para 7.253 ou para 3.000?    Sugestão:  Separar os custos da solução em 2 itens para cada tipo local (Ambiente de Aprendizagem e Unidades Escolares):   - "Solução Cliente para 7.253</w:t>
      </w:r>
      <w:proofErr w:type="gramStart"/>
      <w:r w:rsidRPr="00E80E6B">
        <w:rPr>
          <w:rFonts w:eastAsia="Times New Roman" w:cs="Calibri"/>
          <w:color w:val="000000"/>
          <w:lang w:eastAsia="pt-BR"/>
        </w:rPr>
        <w:t>"  e</w:t>
      </w:r>
      <w:proofErr w:type="gramEnd"/>
      <w:r w:rsidRPr="00E80E6B">
        <w:rPr>
          <w:rFonts w:eastAsia="Times New Roman" w:cs="Calibri"/>
          <w:color w:val="000000"/>
          <w:lang w:eastAsia="pt-BR"/>
        </w:rPr>
        <w:t xml:space="preserve">  - "Solução Servidor para 3.000 acessos simultâneos, podendo ser incrementados em lotes de 500 por meio de aditivos"  </w:t>
      </w:r>
    </w:p>
    <w:p w:rsidR="00CC0FD5" w:rsidRPr="00E80E6B" w:rsidRDefault="00CC0FD5" w:rsidP="00CC0FD5">
      <w:pPr>
        <w:jc w:val="both"/>
        <w:rPr>
          <w:rFonts w:eastAsia="Times New Roman" w:cs="Calibri"/>
          <w:color w:val="000000"/>
          <w:lang w:eastAsia="pt-BR"/>
        </w:rPr>
      </w:pPr>
    </w:p>
    <w:p w:rsidR="00CC0FD5" w:rsidRPr="00E80E6B" w:rsidRDefault="00CC0FD5" w:rsidP="00CC0FD5">
      <w:pPr>
        <w:jc w:val="both"/>
      </w:pPr>
      <w:r w:rsidRPr="00E80E6B">
        <w:rPr>
          <w:rFonts w:eastAsia="Times New Roman" w:cs="Calibri"/>
          <w:b/>
          <w:bCs/>
          <w:color w:val="000000"/>
          <w:lang w:eastAsia="pt-BR"/>
        </w:rPr>
        <w:t xml:space="preserve">SEDUC: </w:t>
      </w:r>
      <w:r w:rsidRPr="0029091D">
        <w:rPr>
          <w:rFonts w:ascii="Calibri" w:eastAsia="Times New Roman" w:hAnsi="Calibri" w:cs="Calibri"/>
          <w:b/>
          <w:bCs/>
          <w:lang w:eastAsia="pt-BR"/>
        </w:rPr>
        <w:t>Este item será alterado</w:t>
      </w:r>
      <w:r>
        <w:rPr>
          <w:rFonts w:ascii="Calibri" w:eastAsia="Times New Roman" w:hAnsi="Calibri" w:cs="Calibri"/>
          <w:b/>
          <w:bCs/>
          <w:lang w:eastAsia="pt-BR"/>
        </w:rPr>
        <w:t>, porém configurando custo variável, em que o pagamento estará atrelado a utilização, dispensando assim a assinatura de aditivos, conforme sugere o licitante.</w:t>
      </w:r>
    </w:p>
    <w:p w:rsidR="00CC0FD5" w:rsidRPr="00E80E6B" w:rsidRDefault="00CC0FD5" w:rsidP="00CC0FD5">
      <w:pPr>
        <w:spacing w:line="360" w:lineRule="auto"/>
        <w:ind w:firstLine="720"/>
        <w:jc w:val="both"/>
      </w:pPr>
    </w:p>
    <w:p w:rsidR="00CC0FD5" w:rsidRPr="00E80E6B" w:rsidRDefault="00CC0FD5" w:rsidP="00CC0FD5">
      <w:pPr>
        <w:spacing w:line="360" w:lineRule="auto"/>
        <w:ind w:firstLine="720"/>
        <w:jc w:val="both"/>
      </w:pPr>
    </w:p>
    <w:p w:rsidR="00CC0FD5" w:rsidRPr="00E80E6B" w:rsidRDefault="00CC0FD5" w:rsidP="00CC0FD5">
      <w:pPr>
        <w:spacing w:line="360" w:lineRule="auto"/>
        <w:ind w:firstLine="720"/>
        <w:jc w:val="both"/>
      </w:pPr>
    </w:p>
    <w:p w:rsidR="00CC0FD5" w:rsidRPr="00E80E6B" w:rsidRDefault="00CC0FD5" w:rsidP="00CC0FD5">
      <w:pPr>
        <w:jc w:val="both"/>
      </w:pPr>
    </w:p>
    <w:p w:rsidR="00882D9E" w:rsidRDefault="00A7097B"/>
    <w:sectPr w:rsidR="00882D9E" w:rsidSect="00207211">
      <w:headerReference w:type="default" r:id="rId10"/>
      <w:pgSz w:w="11900" w:h="16840"/>
      <w:pgMar w:top="1440" w:right="985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97B" w:rsidRDefault="00A7097B">
      <w:r>
        <w:separator/>
      </w:r>
    </w:p>
  </w:endnote>
  <w:endnote w:type="continuationSeparator" w:id="0">
    <w:p w:rsidR="00A7097B" w:rsidRDefault="00A7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97B" w:rsidRDefault="00A7097B">
      <w:r>
        <w:separator/>
      </w:r>
    </w:p>
  </w:footnote>
  <w:footnote w:type="continuationSeparator" w:id="0">
    <w:p w:rsidR="00A7097B" w:rsidRDefault="00A7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0"/>
      <w:gridCol w:w="7400"/>
    </w:tblGrid>
    <w:tr w:rsidR="00943ACA" w:rsidTr="00943ACA">
      <w:trPr>
        <w:trHeight w:val="1433"/>
      </w:trPr>
      <w:tc>
        <w:tcPr>
          <w:tcW w:w="1470" w:type="dxa"/>
        </w:tcPr>
        <w:p w:rsidR="00943ACA" w:rsidRDefault="00946AE8" w:rsidP="00943ACA">
          <w:pPr>
            <w:pStyle w:val="Cabealho"/>
            <w:jc w:val="both"/>
            <w:rPr>
              <w:rFonts w:ascii="Kartika" w:hAnsi="Kartika"/>
              <w:sz w:val="36"/>
            </w:rPr>
          </w:pPr>
          <w:r>
            <w:rPr>
              <w:rFonts w:ascii="Kartika" w:hAnsi="Kartika"/>
              <w:noProof/>
              <w:sz w:val="36"/>
              <w:lang w:eastAsia="pt-BR"/>
            </w:rPr>
            <w:drawing>
              <wp:inline distT="0" distB="0" distL="0" distR="0" wp14:anchorId="1F890F6E" wp14:editId="6821AC2D">
                <wp:extent cx="695325" cy="73342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0" w:type="dxa"/>
        </w:tcPr>
        <w:p w:rsidR="00655AB1" w:rsidRDefault="00946AE8" w:rsidP="00655AB1">
          <w:pPr>
            <w:pStyle w:val="Cabealho"/>
            <w:jc w:val="center"/>
            <w:rPr>
              <w:rFonts w:ascii="Verdana" w:hAnsi="Verdana" w:cs="Courier New"/>
              <w:b/>
              <w:sz w:val="18"/>
            </w:rPr>
          </w:pPr>
          <w:r>
            <w:rPr>
              <w:rFonts w:ascii="Verdana" w:hAnsi="Verdana" w:cs="Courier New"/>
              <w:b/>
              <w:sz w:val="18"/>
            </w:rPr>
            <w:t>GOVERNO DO ESTADO DE SÃO PAULO</w:t>
          </w:r>
        </w:p>
        <w:p w:rsidR="00655AB1" w:rsidRDefault="00946AE8" w:rsidP="00655AB1">
          <w:pPr>
            <w:pStyle w:val="Cabealho"/>
            <w:jc w:val="center"/>
            <w:rPr>
              <w:rFonts w:ascii="Verdana" w:hAnsi="Verdana" w:cs="Courier New"/>
              <w:b/>
              <w:sz w:val="18"/>
            </w:rPr>
          </w:pPr>
          <w:r>
            <w:rPr>
              <w:rFonts w:ascii="Verdana" w:hAnsi="Verdana" w:cs="Courier New"/>
              <w:b/>
              <w:sz w:val="18"/>
            </w:rPr>
            <w:t>SECRETARIA DA EDUCAÇÃO</w:t>
          </w:r>
        </w:p>
        <w:p w:rsidR="00655AB1" w:rsidRDefault="00946AE8" w:rsidP="00655AB1">
          <w:pPr>
            <w:pStyle w:val="Cabealho"/>
            <w:jc w:val="center"/>
            <w:rPr>
              <w:rFonts w:ascii="Verdana" w:hAnsi="Verdana" w:cs="Courier New"/>
              <w:b/>
              <w:sz w:val="18"/>
            </w:rPr>
          </w:pPr>
          <w:r>
            <w:rPr>
              <w:rFonts w:ascii="Verdana" w:hAnsi="Verdana" w:cs="Courier New"/>
              <w:b/>
              <w:sz w:val="18"/>
            </w:rPr>
            <w:t>Escola de Formação e Aperfeiçoamento dos Profissionais da Educação do Estado de São Paulo “Paulo Renato Costa Souza”</w:t>
          </w:r>
        </w:p>
        <w:p w:rsidR="00655AB1" w:rsidRDefault="00946AE8" w:rsidP="00655AB1">
          <w:pPr>
            <w:pStyle w:val="Cabealho"/>
            <w:jc w:val="center"/>
            <w:rPr>
              <w:rFonts w:ascii="Verdana" w:hAnsi="Verdana" w:cs="Courier New"/>
              <w:b/>
              <w:i/>
              <w:sz w:val="18"/>
            </w:rPr>
          </w:pPr>
          <w:r>
            <w:rPr>
              <w:rFonts w:ascii="Verdana" w:hAnsi="Verdana" w:cs="Courier New"/>
              <w:b/>
              <w:i/>
              <w:sz w:val="18"/>
            </w:rPr>
            <w:t>Rua João Ramalho, 1546 - Perdizes – São Paulo – SP – CEP: 05008-002</w:t>
          </w:r>
        </w:p>
        <w:p w:rsidR="00943ACA" w:rsidRPr="00317652" w:rsidRDefault="00A7097B" w:rsidP="00655AB1">
          <w:pPr>
            <w:pStyle w:val="Cabealho"/>
            <w:jc w:val="center"/>
            <w:rPr>
              <w:rFonts w:ascii="Verdana" w:hAnsi="Verdana" w:cs="Courier New"/>
              <w:b/>
              <w:i/>
              <w:sz w:val="18"/>
            </w:rPr>
          </w:pPr>
          <w:hyperlink r:id="rId2" w:history="1">
            <w:r w:rsidR="00946AE8" w:rsidRPr="001639AE">
              <w:rPr>
                <w:rStyle w:val="Hyperlink"/>
                <w:rFonts w:ascii="Verdana" w:hAnsi="Verdana" w:cs="Courier New"/>
                <w:b/>
                <w:i/>
                <w:sz w:val="18"/>
              </w:rPr>
              <w:t>escoladeformacao@educacao.sp.gov.br</w:t>
            </w:r>
          </w:hyperlink>
        </w:p>
      </w:tc>
    </w:tr>
  </w:tbl>
  <w:p w:rsidR="00943ACA" w:rsidRDefault="00A709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67C1B"/>
    <w:multiLevelType w:val="hybridMultilevel"/>
    <w:tmpl w:val="F5A46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D5"/>
    <w:rsid w:val="001149DA"/>
    <w:rsid w:val="00207B8D"/>
    <w:rsid w:val="002153CF"/>
    <w:rsid w:val="004A69FD"/>
    <w:rsid w:val="00850688"/>
    <w:rsid w:val="0092681B"/>
    <w:rsid w:val="00946AE8"/>
    <w:rsid w:val="00A7097B"/>
    <w:rsid w:val="00CC0FD5"/>
    <w:rsid w:val="00CD20C1"/>
    <w:rsid w:val="00E300A1"/>
    <w:rsid w:val="00E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58ED"/>
  <w15:chartTrackingRefBased/>
  <w15:docId w15:val="{4DF1B321-EB3E-4A81-9755-9DAB235D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FD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0F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0FD5"/>
    <w:rPr>
      <w:rFonts w:eastAsiaTheme="minorEastAsia"/>
      <w:sz w:val="24"/>
      <w:szCs w:val="24"/>
    </w:rPr>
  </w:style>
  <w:style w:type="character" w:styleId="Hyperlink">
    <w:name w:val="Hyperlink"/>
    <w:basedOn w:val="Fontepargpadro"/>
    <w:rsid w:val="00CC0FD5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CC0FD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CC0FD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F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FD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cco@cisc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ecco@cisc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ercial@vat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oladeformacao@educaca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4945</Words>
  <Characters>26703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Henrique De Oliveira</dc:creator>
  <cp:keywords/>
  <dc:description/>
  <cp:lastModifiedBy>Fernanda Henrique De Oliveira</cp:lastModifiedBy>
  <cp:revision>4</cp:revision>
  <dcterms:created xsi:type="dcterms:W3CDTF">2019-07-23T19:53:00Z</dcterms:created>
  <dcterms:modified xsi:type="dcterms:W3CDTF">2019-07-23T20:33:00Z</dcterms:modified>
</cp:coreProperties>
</file>